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A2554" w14:textId="77777777" w:rsidR="00AE530B" w:rsidRPr="00DF55D4" w:rsidRDefault="00AE530B" w:rsidP="00DF55D4">
      <w:pPr>
        <w:keepNext/>
        <w:widowControl w:val="0"/>
        <w:autoSpaceDE w:val="0"/>
        <w:autoSpaceDN w:val="0"/>
        <w:spacing w:after="0" w:line="240" w:lineRule="auto"/>
        <w:jc w:val="both"/>
        <w:outlineLvl w:val="3"/>
        <w:rPr>
          <w:rFonts w:ascii="Arial" w:eastAsia="Times New Roman" w:hAnsi="Arial" w:cs="Arial"/>
          <w:b/>
          <w:color w:val="FF0000"/>
          <w:spacing w:val="-3"/>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842"/>
      </w:tblGrid>
      <w:tr w:rsidR="00AE530B" w:rsidRPr="00DF55D4" w14:paraId="6F61540C" w14:textId="77777777" w:rsidTr="00543714">
        <w:tc>
          <w:tcPr>
            <w:tcW w:w="1555" w:type="dxa"/>
          </w:tcPr>
          <w:p w14:paraId="3FD6B034" w14:textId="77777777" w:rsidR="00AE530B" w:rsidRPr="00DF55D4" w:rsidRDefault="00AE530B" w:rsidP="00DF55D4">
            <w:pPr>
              <w:pStyle w:val="Sinespaciado"/>
              <w:contextualSpacing/>
              <w:jc w:val="both"/>
              <w:rPr>
                <w:rFonts w:ascii="Arial" w:hAnsi="Arial" w:cs="Arial"/>
              </w:rPr>
            </w:pPr>
            <w:r w:rsidRPr="00DF55D4">
              <w:rPr>
                <w:rFonts w:ascii="Arial" w:hAnsi="Arial" w:cs="Arial"/>
              </w:rPr>
              <w:t xml:space="preserve">Referencia:  </w:t>
            </w:r>
          </w:p>
        </w:tc>
        <w:tc>
          <w:tcPr>
            <w:tcW w:w="7842" w:type="dxa"/>
          </w:tcPr>
          <w:p w14:paraId="2A328692" w14:textId="77777777" w:rsidR="00AE530B" w:rsidRPr="00DF55D4" w:rsidRDefault="00AE530B" w:rsidP="00DF55D4">
            <w:pPr>
              <w:pStyle w:val="Sinespaciado"/>
              <w:contextualSpacing/>
              <w:jc w:val="both"/>
              <w:rPr>
                <w:rFonts w:ascii="Arial" w:hAnsi="Arial" w:cs="Arial"/>
              </w:rPr>
            </w:pPr>
            <w:r w:rsidRPr="00DF55D4">
              <w:rPr>
                <w:rFonts w:ascii="Arial" w:hAnsi="Arial" w:cs="Arial"/>
              </w:rPr>
              <w:t xml:space="preserve">Proceso de cobro por Jurisdicción Coactiva </w:t>
            </w:r>
            <w:r w:rsidRPr="00DF55D4">
              <w:rPr>
                <w:rFonts w:ascii="Arial" w:hAnsi="Arial" w:cs="Arial"/>
                <w:b/>
              </w:rPr>
              <w:t xml:space="preserve">No. </w:t>
            </w:r>
            <w:r w:rsidRPr="00DF55D4">
              <w:rPr>
                <w:rFonts w:ascii="Arial" w:eastAsia="Times New Roman" w:hAnsi="Arial" w:cs="Arial"/>
                <w:b/>
                <w:bCs/>
                <w:highlight w:val="yellow"/>
                <w:lang w:val="es-CO"/>
              </w:rPr>
              <w:t>XXXX</w:t>
            </w:r>
          </w:p>
        </w:tc>
      </w:tr>
      <w:tr w:rsidR="00AE530B" w:rsidRPr="00DF55D4" w14:paraId="0597F7A1" w14:textId="77777777" w:rsidTr="00543714">
        <w:tc>
          <w:tcPr>
            <w:tcW w:w="1555" w:type="dxa"/>
          </w:tcPr>
          <w:p w14:paraId="03E2355E" w14:textId="77777777" w:rsidR="00AE530B" w:rsidRPr="00DF55D4" w:rsidRDefault="00AE530B" w:rsidP="00DF55D4">
            <w:pPr>
              <w:pStyle w:val="Sinespaciado"/>
              <w:contextualSpacing/>
              <w:jc w:val="both"/>
              <w:rPr>
                <w:rFonts w:ascii="Arial" w:hAnsi="Arial" w:cs="Arial"/>
              </w:rPr>
            </w:pPr>
            <w:r w:rsidRPr="00DF55D4">
              <w:rPr>
                <w:rFonts w:ascii="Arial" w:hAnsi="Arial" w:cs="Arial"/>
              </w:rPr>
              <w:t>Deudor</w:t>
            </w:r>
            <w:r w:rsidRPr="00DF55D4">
              <w:rPr>
                <w:rFonts w:ascii="Arial" w:hAnsi="Arial" w:cs="Arial"/>
                <w:b/>
              </w:rPr>
              <w:t>:</w:t>
            </w:r>
          </w:p>
        </w:tc>
        <w:tc>
          <w:tcPr>
            <w:tcW w:w="7842" w:type="dxa"/>
          </w:tcPr>
          <w:p w14:paraId="182604EF" w14:textId="77777777" w:rsidR="00AE530B" w:rsidRPr="00DF55D4" w:rsidRDefault="00AE530B" w:rsidP="00DF55D4">
            <w:pPr>
              <w:pStyle w:val="Sinespaciado"/>
              <w:contextualSpacing/>
              <w:jc w:val="both"/>
              <w:rPr>
                <w:rFonts w:ascii="Arial" w:hAnsi="Arial" w:cs="Arial"/>
                <w:lang w:val="es-CO"/>
              </w:rPr>
            </w:pPr>
            <w:r w:rsidRPr="00DF55D4">
              <w:rPr>
                <w:rFonts w:ascii="Arial" w:eastAsia="Times New Roman" w:hAnsi="Arial" w:cs="Arial"/>
                <w:b/>
                <w:bCs/>
                <w:highlight w:val="yellow"/>
              </w:rPr>
              <w:t>(NOMBRE)</w:t>
            </w:r>
            <w:r w:rsidRPr="00DF55D4">
              <w:rPr>
                <w:rFonts w:ascii="Arial" w:hAnsi="Arial" w:cs="Arial"/>
                <w:b/>
                <w:highlight w:val="yellow"/>
              </w:rPr>
              <w:t xml:space="preserve">, </w:t>
            </w:r>
            <w:r w:rsidRPr="00DF55D4">
              <w:rPr>
                <w:rFonts w:ascii="Arial" w:eastAsia="Times New Roman" w:hAnsi="Arial" w:cs="Arial"/>
                <w:b/>
                <w:highlight w:val="yellow"/>
                <w:lang w:eastAsia="es-ES"/>
              </w:rPr>
              <w:t>(IDENTIFICACIÓN)</w:t>
            </w:r>
          </w:p>
        </w:tc>
      </w:tr>
    </w:tbl>
    <w:p w14:paraId="320394CF" w14:textId="77777777" w:rsidR="00AE530B" w:rsidRPr="00DF55D4" w:rsidRDefault="00AE530B" w:rsidP="00DF55D4">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4E70A150" w14:textId="77777777" w:rsidR="00AE530B" w:rsidRPr="00DF55D4" w:rsidRDefault="00AE530B" w:rsidP="00DF55D4">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51E96B47" w14:textId="77777777" w:rsidR="00AE530B" w:rsidRPr="00DF55D4" w:rsidRDefault="00AE530B" w:rsidP="00DF55D4">
      <w:pPr>
        <w:keepNext/>
        <w:widowControl w:val="0"/>
        <w:autoSpaceDE w:val="0"/>
        <w:autoSpaceDN w:val="0"/>
        <w:spacing w:after="0" w:line="240" w:lineRule="auto"/>
        <w:jc w:val="both"/>
        <w:outlineLvl w:val="3"/>
        <w:rPr>
          <w:rFonts w:ascii="Arial" w:hAnsi="Arial" w:cs="Arial"/>
        </w:rPr>
      </w:pPr>
      <w:r w:rsidRPr="00DF55D4">
        <w:rPr>
          <w:rFonts w:ascii="Arial" w:eastAsia="Times New Roman" w:hAnsi="Arial" w:cs="Arial"/>
          <w:b/>
          <w:spacing w:val="-3"/>
          <w:lang w:eastAsia="es-ES"/>
        </w:rPr>
        <w:t xml:space="preserve">EL FUNCIONARIO EJECUTOR DE LA REGIONAL </w:t>
      </w:r>
      <w:r w:rsidRPr="00DF55D4">
        <w:rPr>
          <w:rFonts w:ascii="Arial" w:eastAsia="Times New Roman" w:hAnsi="Arial" w:cs="Arial"/>
          <w:b/>
          <w:spacing w:val="-3"/>
          <w:highlight w:val="yellow"/>
          <w:lang w:eastAsia="es-ES"/>
        </w:rPr>
        <w:t>XXXX</w:t>
      </w:r>
      <w:r w:rsidRPr="00DF55D4">
        <w:rPr>
          <w:rFonts w:ascii="Arial" w:eastAsia="Times New Roman" w:hAnsi="Arial" w:cs="Arial"/>
          <w:b/>
          <w:spacing w:val="-3"/>
          <w:lang w:eastAsia="es-ES"/>
        </w:rPr>
        <w:t xml:space="preserve"> DEL INSTITUTO COLOMBIANO DE BIENESTAR FAMILIAR (ICBF) CECILIA DE LA FUENTE DE LLERAS</w:t>
      </w:r>
    </w:p>
    <w:p w14:paraId="02C56E3F" w14:textId="77777777" w:rsidR="00AE530B" w:rsidRPr="00DF55D4" w:rsidRDefault="00AE530B" w:rsidP="00DF55D4">
      <w:pPr>
        <w:spacing w:after="0" w:line="240" w:lineRule="auto"/>
        <w:jc w:val="both"/>
        <w:rPr>
          <w:rFonts w:ascii="Arial" w:hAnsi="Arial" w:cs="Arial"/>
        </w:rPr>
      </w:pPr>
    </w:p>
    <w:p w14:paraId="0F6248DD" w14:textId="77777777" w:rsidR="00336157" w:rsidRPr="00A20D3C" w:rsidRDefault="00336157" w:rsidP="00336157">
      <w:pPr>
        <w:pStyle w:val="Sinespaciado"/>
        <w:contextualSpacing/>
        <w:jc w:val="both"/>
        <w:rPr>
          <w:rFonts w:ascii="Arial" w:hAnsi="Arial" w:cs="Arial"/>
          <w:lang w:val="es-CO"/>
        </w:rPr>
      </w:pPr>
      <w:r w:rsidRPr="00FB7DB3">
        <w:rPr>
          <w:rFonts w:ascii="Arial" w:hAnsi="Arial" w:cs="Arial"/>
          <w:lang w:val="es-CO"/>
        </w:rPr>
        <w:t xml:space="preserve">El Funcionario Ejecutor de la Regional </w:t>
      </w:r>
      <w:r w:rsidRPr="00D0390E">
        <w:rPr>
          <w:rFonts w:ascii="Arial" w:hAnsi="Arial" w:cs="Arial"/>
          <w:highlight w:val="yellow"/>
          <w:lang w:val="es-CO"/>
        </w:rPr>
        <w:t>XXXX</w:t>
      </w:r>
      <w:r>
        <w:rPr>
          <w:rFonts w:ascii="Arial" w:hAnsi="Arial" w:cs="Arial"/>
          <w:lang w:val="es-CO"/>
        </w:rPr>
        <w:t xml:space="preserve"> </w:t>
      </w:r>
      <w:r w:rsidRPr="00FB7DB3">
        <w:rPr>
          <w:rFonts w:ascii="Arial" w:hAnsi="Arial" w:cs="Arial"/>
          <w:lang w:val="es-CO"/>
        </w:rPr>
        <w:t>del  ICBF</w:t>
      </w:r>
      <w:r w:rsidRPr="00A20D3C">
        <w:rPr>
          <w:rFonts w:ascii="Arial" w:hAnsi="Arial" w:cs="Arial"/>
          <w:lang w:val="es-CO"/>
        </w:rPr>
        <w:t xml:space="preserve">, en uso de las facultades conferidas por el artículo 5 de la Ley 1066 de 2006, el título VIII del Estatuto Tributario, los artículos 99 y siguientes del CPACA, </w:t>
      </w:r>
      <w:r w:rsidRPr="00875264">
        <w:rPr>
          <w:rFonts w:ascii="Arial" w:hAnsi="Arial" w:cs="Arial"/>
          <w:lang w:val="es-CO"/>
        </w:rPr>
        <w:t xml:space="preserve">la Resolución No. 0140 del 21 de enero de 2025, emanada de la Dirección General del ICBF, “Por  la cual se adopta el Reglamento Interno de Cartera en el ICBF y se deroga la Resolución 5003 de 2020”, </w:t>
      </w:r>
      <w:r w:rsidRPr="00AB1B52">
        <w:rPr>
          <w:rFonts w:ascii="Arial" w:hAnsi="Arial" w:cs="Arial"/>
          <w:highlight w:val="yellow"/>
          <w:lang w:val="es-CO"/>
        </w:rPr>
        <w:t>la Resolución XXX del XX de XX de XX</w:t>
      </w:r>
      <w:r w:rsidRPr="00875264">
        <w:rPr>
          <w:rFonts w:ascii="Arial" w:hAnsi="Arial" w:cs="Arial"/>
          <w:lang w:val="es-CO"/>
        </w:rPr>
        <w:t xml:space="preserve"> , mediante la cual se designa funcionario ejecutor  de la Regional </w:t>
      </w:r>
      <w:r w:rsidRPr="00EC6720">
        <w:rPr>
          <w:rFonts w:ascii="Arial" w:hAnsi="Arial" w:cs="Arial"/>
          <w:highlight w:val="yellow"/>
          <w:lang w:val="es-CO"/>
        </w:rPr>
        <w:t>XXXX</w:t>
      </w:r>
      <w:r>
        <w:rPr>
          <w:rFonts w:ascii="Arial" w:hAnsi="Arial" w:cs="Arial"/>
          <w:lang w:val="es-CO"/>
        </w:rPr>
        <w:t xml:space="preserve"> </w:t>
      </w:r>
      <w:r w:rsidRPr="00875264">
        <w:rPr>
          <w:rFonts w:ascii="Arial" w:hAnsi="Arial" w:cs="Arial"/>
          <w:lang w:val="es-CO"/>
        </w:rPr>
        <w:t xml:space="preserve"> </w:t>
      </w:r>
      <w:r w:rsidRPr="00E721A8">
        <w:rPr>
          <w:rFonts w:ascii="Arial" w:hAnsi="Arial" w:cs="Arial"/>
          <w:lang w:val="es-CO"/>
        </w:rPr>
        <w:t xml:space="preserve">a un servidor público </w:t>
      </w:r>
      <w:r w:rsidRPr="00875264">
        <w:rPr>
          <w:rFonts w:ascii="Arial" w:hAnsi="Arial" w:cs="Arial"/>
          <w:lang w:val="es-CO"/>
        </w:rPr>
        <w:t>y,</w:t>
      </w:r>
    </w:p>
    <w:p w14:paraId="39AF1661" w14:textId="77777777" w:rsidR="00AE530B" w:rsidRPr="00336157" w:rsidRDefault="00AE530B" w:rsidP="00DF55D4">
      <w:pPr>
        <w:spacing w:after="0" w:line="240" w:lineRule="auto"/>
        <w:jc w:val="both"/>
        <w:rPr>
          <w:rFonts w:ascii="Arial" w:hAnsi="Arial" w:cs="Arial"/>
          <w:lang w:val="es-CO"/>
        </w:rPr>
      </w:pPr>
    </w:p>
    <w:p w14:paraId="52F918DE" w14:textId="77777777" w:rsidR="00AE530B" w:rsidRPr="00DF55D4" w:rsidRDefault="00AE530B" w:rsidP="00DF55D4">
      <w:pPr>
        <w:pStyle w:val="Textoindependiente"/>
        <w:snapToGrid w:val="0"/>
        <w:spacing w:line="276" w:lineRule="auto"/>
        <w:contextualSpacing/>
        <w:jc w:val="center"/>
        <w:rPr>
          <w:rFonts w:cs="Arial"/>
          <w:b/>
          <w:sz w:val="22"/>
          <w:szCs w:val="22"/>
        </w:rPr>
      </w:pPr>
      <w:r w:rsidRPr="00DF55D4">
        <w:rPr>
          <w:rFonts w:cs="Arial"/>
          <w:b/>
          <w:sz w:val="22"/>
          <w:szCs w:val="22"/>
        </w:rPr>
        <w:t>ANTECEDENTES</w:t>
      </w:r>
    </w:p>
    <w:p w14:paraId="13E939CA" w14:textId="2C8CDF87" w:rsidR="00AE530B" w:rsidRPr="00DF55D4" w:rsidRDefault="00AE530B" w:rsidP="00DF55D4">
      <w:pPr>
        <w:pStyle w:val="Textoindependiente"/>
        <w:snapToGrid w:val="0"/>
        <w:spacing w:line="276" w:lineRule="auto"/>
        <w:contextualSpacing/>
        <w:jc w:val="center"/>
        <w:rPr>
          <w:rFonts w:cs="Arial"/>
          <w:b/>
          <w:sz w:val="22"/>
          <w:szCs w:val="22"/>
        </w:rPr>
      </w:pPr>
      <w:r w:rsidRPr="00DF55D4">
        <w:rPr>
          <w:rFonts w:cs="Arial"/>
          <w:b/>
          <w:color w:val="0B769F" w:themeColor="accent4" w:themeShade="BF"/>
          <w:sz w:val="22"/>
          <w:szCs w:val="22"/>
          <w:highlight w:val="yellow"/>
        </w:rPr>
        <w:t>(Contexto sobre el origen de la obligación a favor del ICBF</w:t>
      </w:r>
      <w:r w:rsidR="00941BDE" w:rsidRPr="00DF55D4">
        <w:rPr>
          <w:rFonts w:cs="Arial"/>
          <w:b/>
          <w:color w:val="0B769F" w:themeColor="accent4" w:themeShade="BF"/>
          <w:sz w:val="22"/>
          <w:szCs w:val="22"/>
          <w:highlight w:val="yellow"/>
        </w:rPr>
        <w:t xml:space="preserve"> y las gestiones adelantadas en cobro persuasivo y coactivo</w:t>
      </w:r>
      <w:r w:rsidRPr="00DF55D4">
        <w:rPr>
          <w:rFonts w:cs="Arial"/>
          <w:b/>
          <w:color w:val="0B769F" w:themeColor="accent4" w:themeShade="BF"/>
          <w:sz w:val="22"/>
          <w:szCs w:val="22"/>
          <w:highlight w:val="yellow"/>
        </w:rPr>
        <w:t>)</w:t>
      </w:r>
      <w:r w:rsidRPr="00DF55D4">
        <w:rPr>
          <w:rFonts w:cs="Arial"/>
          <w:b/>
          <w:color w:val="0B769F" w:themeColor="accent4" w:themeShade="BF"/>
          <w:sz w:val="22"/>
          <w:szCs w:val="22"/>
        </w:rPr>
        <w:t xml:space="preserve"> </w:t>
      </w:r>
    </w:p>
    <w:p w14:paraId="393BD524" w14:textId="77777777" w:rsidR="00AE530B" w:rsidRPr="00DF55D4" w:rsidRDefault="00AE530B" w:rsidP="00DF55D4">
      <w:pPr>
        <w:spacing w:after="0"/>
        <w:jc w:val="both"/>
        <w:rPr>
          <w:rFonts w:ascii="Arial" w:hAnsi="Arial" w:cs="Arial"/>
        </w:rPr>
      </w:pPr>
    </w:p>
    <w:p w14:paraId="476C8D69" w14:textId="379F304F" w:rsidR="00AE530B" w:rsidRPr="00DF55D4" w:rsidRDefault="00AE530B" w:rsidP="00DF55D4">
      <w:pPr>
        <w:spacing w:after="0"/>
        <w:jc w:val="both"/>
        <w:rPr>
          <w:rFonts w:ascii="Arial" w:hAnsi="Arial" w:cs="Arial"/>
          <w:color w:val="074F6A" w:themeColor="accent4" w:themeShade="80"/>
        </w:rPr>
      </w:pPr>
      <w:r w:rsidRPr="00DF55D4">
        <w:rPr>
          <w:rFonts w:ascii="Arial" w:hAnsi="Arial" w:cs="Arial"/>
          <w:color w:val="074F6A" w:themeColor="accent4" w:themeShade="80"/>
        </w:rPr>
        <w:t xml:space="preserve">Que el día </w:t>
      </w:r>
      <w:proofErr w:type="spellStart"/>
      <w:r w:rsidRPr="00DF55D4">
        <w:rPr>
          <w:rFonts w:ascii="Arial" w:hAnsi="Arial" w:cs="Arial"/>
          <w:color w:val="074F6A" w:themeColor="accent4" w:themeShade="80"/>
          <w:highlight w:val="yellow"/>
        </w:rPr>
        <w:t>xxxx</w:t>
      </w:r>
      <w:proofErr w:type="spellEnd"/>
      <w:r w:rsidRPr="00DF55D4">
        <w:rPr>
          <w:rFonts w:ascii="Arial" w:hAnsi="Arial" w:cs="Arial"/>
          <w:color w:val="074F6A" w:themeColor="accent4" w:themeShade="80"/>
        </w:rPr>
        <w:t xml:space="preserve">, el </w:t>
      </w:r>
      <w:r w:rsidRPr="00DF55D4">
        <w:rPr>
          <w:rFonts w:ascii="Arial" w:eastAsia="Times New Roman" w:hAnsi="Arial" w:cs="Arial"/>
          <w:color w:val="074F6A" w:themeColor="accent4" w:themeShade="80"/>
          <w:lang w:val="es-CO" w:eastAsia="es-ES"/>
        </w:rPr>
        <w:t xml:space="preserve">Instituto Colombiano De Bienestar Familiar – ICBF, y </w:t>
      </w:r>
      <w:proofErr w:type="spellStart"/>
      <w:r w:rsidRPr="00DF55D4">
        <w:rPr>
          <w:rFonts w:ascii="Arial" w:hAnsi="Arial" w:cs="Arial"/>
          <w:color w:val="074F6A" w:themeColor="accent4" w:themeShade="80"/>
          <w:highlight w:val="yellow"/>
        </w:rPr>
        <w:t>xxxx</w:t>
      </w:r>
      <w:proofErr w:type="spellEnd"/>
      <w:r w:rsidRPr="00DF55D4">
        <w:rPr>
          <w:rFonts w:ascii="Arial" w:eastAsia="Times New Roman" w:hAnsi="Arial" w:cs="Arial"/>
          <w:color w:val="074F6A" w:themeColor="accent4" w:themeShade="80"/>
          <w:lang w:val="es-CO" w:eastAsia="es-ES"/>
        </w:rPr>
        <w:t xml:space="preserve">, suscribieron el </w:t>
      </w:r>
      <w:r w:rsidRPr="00DF55D4">
        <w:rPr>
          <w:rFonts w:ascii="Arial" w:eastAsia="Times New Roman" w:hAnsi="Arial" w:cs="Arial"/>
          <w:color w:val="074F6A" w:themeColor="accent4" w:themeShade="80"/>
          <w:highlight w:val="yellow"/>
          <w:lang w:val="es-CO" w:eastAsia="es-ES"/>
        </w:rPr>
        <w:t>Convenio Interadministrativo</w:t>
      </w:r>
      <w:r w:rsidRPr="00DF55D4">
        <w:rPr>
          <w:rFonts w:ascii="Arial" w:eastAsia="Times New Roman" w:hAnsi="Arial" w:cs="Arial"/>
          <w:color w:val="074F6A" w:themeColor="accent4" w:themeShade="80"/>
          <w:lang w:val="es-CO" w:eastAsia="es-ES"/>
        </w:rPr>
        <w:t xml:space="preserve"> </w:t>
      </w:r>
      <w:proofErr w:type="spellStart"/>
      <w:r w:rsidRPr="00DF55D4">
        <w:rPr>
          <w:rFonts w:ascii="Arial" w:hAnsi="Arial" w:cs="Arial"/>
          <w:color w:val="074F6A" w:themeColor="accent4" w:themeShade="80"/>
          <w:highlight w:val="yellow"/>
        </w:rPr>
        <w:t>xxxx</w:t>
      </w:r>
      <w:proofErr w:type="spellEnd"/>
      <w:r w:rsidRPr="00DF55D4">
        <w:rPr>
          <w:rFonts w:ascii="Arial" w:eastAsia="Times New Roman" w:hAnsi="Arial" w:cs="Arial"/>
          <w:color w:val="074F6A" w:themeColor="accent4" w:themeShade="80"/>
          <w:lang w:val="es-CO" w:eastAsia="es-ES"/>
        </w:rPr>
        <w:t xml:space="preserve">, con el objeto de </w:t>
      </w:r>
      <w:proofErr w:type="spellStart"/>
      <w:r w:rsidRPr="00DF55D4">
        <w:rPr>
          <w:rFonts w:ascii="Arial" w:hAnsi="Arial" w:cs="Arial"/>
          <w:color w:val="074F6A" w:themeColor="accent4" w:themeShade="80"/>
          <w:highlight w:val="yellow"/>
        </w:rPr>
        <w:t>xxxx</w:t>
      </w:r>
      <w:proofErr w:type="spellEnd"/>
      <w:r w:rsidRPr="00DF55D4">
        <w:rPr>
          <w:rFonts w:ascii="Arial" w:hAnsi="Arial" w:cs="Arial"/>
          <w:bCs/>
          <w:color w:val="074F6A" w:themeColor="accent4" w:themeShade="80"/>
        </w:rPr>
        <w:t>.</w:t>
      </w:r>
      <w:r w:rsidRPr="00DF55D4">
        <w:rPr>
          <w:rFonts w:ascii="Arial" w:eastAsia="Times New Roman" w:hAnsi="Arial" w:cs="Arial"/>
          <w:color w:val="074F6A" w:themeColor="accent4" w:themeShade="80"/>
          <w:lang w:val="es-CO" w:eastAsia="es-ES"/>
        </w:rPr>
        <w:t xml:space="preserve">”  </w:t>
      </w:r>
      <w:r w:rsidRPr="00DF55D4">
        <w:rPr>
          <w:rFonts w:ascii="Arial" w:hAnsi="Arial" w:cs="Arial"/>
          <w:color w:val="074F6A" w:themeColor="accent4" w:themeShade="80"/>
        </w:rPr>
        <w:t xml:space="preserve"> </w:t>
      </w:r>
    </w:p>
    <w:p w14:paraId="2A79CBFD" w14:textId="77777777" w:rsidR="00AE530B" w:rsidRPr="00DF55D4" w:rsidRDefault="00AE530B" w:rsidP="00DF55D4">
      <w:pPr>
        <w:spacing w:after="0"/>
        <w:jc w:val="both"/>
        <w:rPr>
          <w:rFonts w:ascii="Arial" w:hAnsi="Arial" w:cs="Arial"/>
          <w:color w:val="074F6A" w:themeColor="accent4" w:themeShade="80"/>
        </w:rPr>
      </w:pPr>
    </w:p>
    <w:p w14:paraId="1D937065" w14:textId="1A0F3502" w:rsidR="00AE530B" w:rsidRPr="00DF55D4" w:rsidRDefault="00AE530B" w:rsidP="00DF55D4">
      <w:pPr>
        <w:pStyle w:val="Sinespaciado"/>
        <w:spacing w:line="276" w:lineRule="auto"/>
        <w:jc w:val="both"/>
        <w:rPr>
          <w:rFonts w:ascii="Arial" w:hAnsi="Arial" w:cs="Arial"/>
          <w:bCs/>
          <w:color w:val="074F6A" w:themeColor="accent4" w:themeShade="80"/>
        </w:rPr>
      </w:pPr>
      <w:r w:rsidRPr="00DF55D4">
        <w:rPr>
          <w:rFonts w:ascii="Arial" w:eastAsia="Times New Roman" w:hAnsi="Arial" w:cs="Arial"/>
          <w:color w:val="074F6A" w:themeColor="accent4" w:themeShade="80"/>
          <w:lang w:val="es-CO" w:eastAsia="es-ES"/>
        </w:rPr>
        <w:t xml:space="preserve">Que el </w:t>
      </w:r>
      <w:r w:rsidRPr="00DF55D4">
        <w:rPr>
          <w:rFonts w:ascii="Arial" w:eastAsia="Times New Roman" w:hAnsi="Arial" w:cs="Arial"/>
          <w:color w:val="074F6A" w:themeColor="accent4" w:themeShade="80"/>
          <w:highlight w:val="yellow"/>
          <w:lang w:val="es-CO" w:eastAsia="es-ES"/>
        </w:rPr>
        <w:t>Convenio Interadministrativo</w:t>
      </w:r>
      <w:r w:rsidRPr="00DF55D4">
        <w:rPr>
          <w:rFonts w:ascii="Arial" w:eastAsia="Times New Roman" w:hAnsi="Arial" w:cs="Arial"/>
          <w:color w:val="074F6A" w:themeColor="accent4" w:themeShade="80"/>
          <w:lang w:val="es-CO" w:eastAsia="es-ES"/>
        </w:rPr>
        <w:t xml:space="preserve"> </w:t>
      </w:r>
      <w:proofErr w:type="spellStart"/>
      <w:r w:rsidRPr="00DF55D4">
        <w:rPr>
          <w:rFonts w:ascii="Arial" w:hAnsi="Arial" w:cs="Arial"/>
          <w:color w:val="074F6A" w:themeColor="accent4" w:themeShade="80"/>
          <w:highlight w:val="yellow"/>
        </w:rPr>
        <w:t>xxxx</w:t>
      </w:r>
      <w:proofErr w:type="spellEnd"/>
      <w:r w:rsidRPr="00DF55D4">
        <w:rPr>
          <w:rFonts w:ascii="Arial" w:eastAsia="Times New Roman" w:hAnsi="Arial" w:cs="Arial"/>
          <w:color w:val="074F6A" w:themeColor="accent4" w:themeShade="80"/>
          <w:lang w:val="es-CO" w:eastAsia="es-ES"/>
        </w:rPr>
        <w:t xml:space="preserve">, se liquidó por </w:t>
      </w:r>
      <w:r w:rsidRPr="00DF55D4">
        <w:rPr>
          <w:rFonts w:ascii="Arial" w:hAnsi="Arial" w:cs="Arial"/>
          <w:bCs/>
          <w:color w:val="074F6A" w:themeColor="accent4" w:themeShade="80"/>
        </w:rPr>
        <w:t>mutuo acuerdo</w:t>
      </w:r>
      <w:r w:rsidRPr="00DF55D4">
        <w:rPr>
          <w:rFonts w:ascii="Arial" w:eastAsia="Times New Roman" w:hAnsi="Arial" w:cs="Arial"/>
          <w:color w:val="074F6A" w:themeColor="accent4" w:themeShade="80"/>
          <w:lang w:val="es-CO" w:eastAsia="es-ES"/>
        </w:rPr>
        <w:t xml:space="preserve"> mediante Acta de Liquidación de </w:t>
      </w:r>
      <w:proofErr w:type="spellStart"/>
      <w:r w:rsidRPr="00DF55D4">
        <w:rPr>
          <w:rFonts w:ascii="Arial" w:hAnsi="Arial" w:cs="Arial"/>
          <w:color w:val="074F6A" w:themeColor="accent4" w:themeShade="80"/>
          <w:highlight w:val="yellow"/>
        </w:rPr>
        <w:t>xxxx</w:t>
      </w:r>
      <w:proofErr w:type="spellEnd"/>
      <w:r w:rsidRPr="00DF55D4">
        <w:rPr>
          <w:rFonts w:ascii="Arial" w:eastAsia="Times New Roman" w:hAnsi="Arial" w:cs="Arial"/>
          <w:color w:val="074F6A" w:themeColor="accent4" w:themeShade="80"/>
          <w:lang w:val="es-CO" w:eastAsia="es-ES"/>
        </w:rPr>
        <w:t xml:space="preserve">, suscrita por </w:t>
      </w:r>
      <w:proofErr w:type="spellStart"/>
      <w:r w:rsidRPr="00DF55D4">
        <w:rPr>
          <w:rFonts w:ascii="Arial" w:hAnsi="Arial" w:cs="Arial"/>
          <w:color w:val="074F6A" w:themeColor="accent4" w:themeShade="80"/>
          <w:highlight w:val="yellow"/>
        </w:rPr>
        <w:t>xxxx</w:t>
      </w:r>
      <w:proofErr w:type="spellEnd"/>
      <w:r w:rsidRPr="00DF55D4">
        <w:rPr>
          <w:rFonts w:ascii="Arial" w:hAnsi="Arial" w:cs="Arial"/>
          <w:bCs/>
          <w:color w:val="074F6A" w:themeColor="accent4" w:themeShade="80"/>
        </w:rPr>
        <w:t xml:space="preserve">. </w:t>
      </w:r>
    </w:p>
    <w:p w14:paraId="3C4B911B" w14:textId="77777777" w:rsidR="00AE530B" w:rsidRPr="00DF55D4" w:rsidRDefault="00AE530B" w:rsidP="00DF55D4">
      <w:pPr>
        <w:pStyle w:val="Sinespaciado"/>
        <w:spacing w:line="276" w:lineRule="auto"/>
        <w:jc w:val="both"/>
        <w:rPr>
          <w:rFonts w:ascii="Arial" w:hAnsi="Arial" w:cs="Arial"/>
          <w:bCs/>
          <w:color w:val="074F6A" w:themeColor="accent4" w:themeShade="80"/>
        </w:rPr>
      </w:pPr>
    </w:p>
    <w:p w14:paraId="3A0A9E69" w14:textId="79EBAA96" w:rsidR="00AE530B" w:rsidRPr="00DF55D4" w:rsidRDefault="00AE530B" w:rsidP="00DF55D4">
      <w:pPr>
        <w:pStyle w:val="Sinespaciado"/>
        <w:spacing w:line="276" w:lineRule="auto"/>
        <w:jc w:val="both"/>
        <w:rPr>
          <w:rFonts w:ascii="Arial" w:hAnsi="Arial" w:cs="Arial"/>
          <w:bCs/>
          <w:color w:val="074F6A" w:themeColor="accent4" w:themeShade="80"/>
        </w:rPr>
      </w:pPr>
      <w:r w:rsidRPr="00DF55D4">
        <w:rPr>
          <w:rFonts w:ascii="Arial" w:hAnsi="Arial" w:cs="Arial"/>
          <w:bCs/>
          <w:color w:val="074F6A" w:themeColor="accent4" w:themeShade="80"/>
        </w:rPr>
        <w:t xml:space="preserve">Que de conformidad con </w:t>
      </w:r>
      <w:proofErr w:type="spellStart"/>
      <w:r w:rsidR="00941BDE" w:rsidRPr="00DF55D4">
        <w:rPr>
          <w:rFonts w:ascii="Arial" w:hAnsi="Arial" w:cs="Arial"/>
          <w:color w:val="074F6A" w:themeColor="accent4" w:themeShade="80"/>
          <w:highlight w:val="yellow"/>
        </w:rPr>
        <w:t>xxxx</w:t>
      </w:r>
      <w:proofErr w:type="spellEnd"/>
      <w:r w:rsidRPr="00DF55D4">
        <w:rPr>
          <w:rFonts w:ascii="Arial" w:eastAsia="Times New Roman" w:hAnsi="Arial" w:cs="Arial"/>
          <w:color w:val="074F6A" w:themeColor="accent4" w:themeShade="80"/>
          <w:lang w:val="es-CO" w:eastAsia="es-ES"/>
        </w:rPr>
        <w:t xml:space="preserve">, el </w:t>
      </w:r>
      <w:r w:rsidR="00941BDE" w:rsidRPr="00DF55D4">
        <w:rPr>
          <w:rFonts w:ascii="Arial" w:hAnsi="Arial" w:cs="Arial"/>
          <w:bCs/>
          <w:color w:val="074F6A" w:themeColor="accent4" w:themeShade="80"/>
          <w:highlight w:val="yellow"/>
        </w:rPr>
        <w:t>(deudor)</w:t>
      </w:r>
      <w:r w:rsidRPr="00DF55D4">
        <w:rPr>
          <w:rFonts w:ascii="Arial" w:hAnsi="Arial" w:cs="Arial"/>
          <w:bCs/>
          <w:color w:val="074F6A" w:themeColor="accent4" w:themeShade="80"/>
        </w:rPr>
        <w:t xml:space="preserve">, reconoce como obligación reintegrar al </w:t>
      </w:r>
      <w:r w:rsidRPr="00DF55D4">
        <w:rPr>
          <w:rFonts w:ascii="Arial" w:eastAsia="Times New Roman" w:hAnsi="Arial" w:cs="Arial"/>
          <w:color w:val="074F6A" w:themeColor="accent4" w:themeShade="80"/>
          <w:lang w:val="es-CO" w:eastAsia="es-ES"/>
        </w:rPr>
        <w:t xml:space="preserve">Instituto Colombiano de Bienestar Familiar – </w:t>
      </w:r>
      <w:r w:rsidRPr="00DF55D4">
        <w:rPr>
          <w:rFonts w:ascii="Arial" w:hAnsi="Arial" w:cs="Arial"/>
          <w:bCs/>
          <w:color w:val="074F6A" w:themeColor="accent4" w:themeShade="80"/>
        </w:rPr>
        <w:t xml:space="preserve">ICBF la suma de </w:t>
      </w:r>
      <w:proofErr w:type="spellStart"/>
      <w:r w:rsidR="00941BDE" w:rsidRPr="00DF55D4">
        <w:rPr>
          <w:rFonts w:ascii="Arial" w:hAnsi="Arial" w:cs="Arial"/>
          <w:color w:val="074F6A" w:themeColor="accent4" w:themeShade="80"/>
          <w:highlight w:val="yellow"/>
        </w:rPr>
        <w:t>xxxx</w:t>
      </w:r>
      <w:proofErr w:type="spellEnd"/>
      <w:r w:rsidRPr="00DF55D4">
        <w:rPr>
          <w:rFonts w:ascii="Arial" w:hAnsi="Arial" w:cs="Arial"/>
          <w:bCs/>
          <w:color w:val="074F6A" w:themeColor="accent4" w:themeShade="80"/>
        </w:rPr>
        <w:t>, por concepto de</w:t>
      </w:r>
      <w:r w:rsidR="00941BDE" w:rsidRPr="00DF55D4">
        <w:rPr>
          <w:rFonts w:ascii="Arial" w:hAnsi="Arial" w:cs="Arial"/>
          <w:bCs/>
          <w:color w:val="074F6A" w:themeColor="accent4" w:themeShade="80"/>
        </w:rPr>
        <w:t xml:space="preserve"> </w:t>
      </w:r>
      <w:proofErr w:type="spellStart"/>
      <w:r w:rsidR="00941BDE" w:rsidRPr="00DF55D4">
        <w:rPr>
          <w:rFonts w:ascii="Arial" w:hAnsi="Arial" w:cs="Arial"/>
          <w:color w:val="074F6A" w:themeColor="accent4" w:themeShade="80"/>
          <w:highlight w:val="yellow"/>
        </w:rPr>
        <w:t>xxxx</w:t>
      </w:r>
      <w:proofErr w:type="spellEnd"/>
      <w:r w:rsidRPr="00DF55D4">
        <w:rPr>
          <w:rFonts w:ascii="Arial" w:hAnsi="Arial" w:cs="Arial"/>
          <w:bCs/>
          <w:color w:val="074F6A" w:themeColor="accent4" w:themeShade="80"/>
        </w:rPr>
        <w:t xml:space="preserve">. </w:t>
      </w:r>
    </w:p>
    <w:p w14:paraId="4FFEB3C2" w14:textId="77777777" w:rsidR="00AE530B" w:rsidRPr="00DF55D4" w:rsidRDefault="00AE530B" w:rsidP="00DF55D4">
      <w:pPr>
        <w:pStyle w:val="Sinespaciado"/>
        <w:spacing w:line="276" w:lineRule="auto"/>
        <w:jc w:val="both"/>
        <w:rPr>
          <w:rFonts w:ascii="Arial" w:hAnsi="Arial" w:cs="Arial"/>
          <w:bCs/>
        </w:rPr>
      </w:pPr>
    </w:p>
    <w:p w14:paraId="7942F243" w14:textId="41264CC2" w:rsidR="00AE530B" w:rsidRPr="00DF55D4" w:rsidRDefault="00AE530B" w:rsidP="00DF55D4">
      <w:pPr>
        <w:pStyle w:val="Sinespaciado"/>
        <w:spacing w:line="276" w:lineRule="auto"/>
        <w:jc w:val="both"/>
        <w:rPr>
          <w:rFonts w:ascii="Arial" w:hAnsi="Arial" w:cs="Arial"/>
          <w:bCs/>
        </w:rPr>
      </w:pPr>
      <w:r w:rsidRPr="00DF55D4">
        <w:rPr>
          <w:rFonts w:ascii="Arial" w:hAnsi="Arial" w:cs="Arial"/>
          <w:bCs/>
        </w:rPr>
        <w:t xml:space="preserve">Que el ICBF realizó </w:t>
      </w:r>
      <w:r w:rsidR="00163043" w:rsidRPr="00DF55D4">
        <w:rPr>
          <w:rFonts w:ascii="Arial" w:hAnsi="Arial" w:cs="Arial"/>
          <w:bCs/>
          <w:highlight w:val="yellow"/>
        </w:rPr>
        <w:t>(número de cobros)</w:t>
      </w:r>
      <w:r w:rsidRPr="00DF55D4">
        <w:rPr>
          <w:rFonts w:ascii="Arial" w:hAnsi="Arial" w:cs="Arial"/>
          <w:bCs/>
        </w:rPr>
        <w:t xml:space="preserve"> cobros persuasivos, </w:t>
      </w:r>
      <w:r w:rsidR="00163043" w:rsidRPr="00DF55D4">
        <w:rPr>
          <w:rFonts w:ascii="Arial" w:hAnsi="Arial" w:cs="Arial"/>
          <w:bCs/>
        </w:rPr>
        <w:t xml:space="preserve">a través de los memorandos con radicados </w:t>
      </w:r>
      <w:proofErr w:type="spellStart"/>
      <w:r w:rsidR="00163043" w:rsidRPr="00DF55D4">
        <w:rPr>
          <w:rFonts w:ascii="Arial" w:hAnsi="Arial" w:cs="Arial"/>
          <w:color w:val="074F6A" w:themeColor="accent4" w:themeShade="80"/>
          <w:highlight w:val="yellow"/>
        </w:rPr>
        <w:t>xxxx</w:t>
      </w:r>
      <w:proofErr w:type="spellEnd"/>
      <w:r w:rsidRPr="00DF55D4">
        <w:rPr>
          <w:rFonts w:ascii="Arial" w:hAnsi="Arial" w:cs="Arial"/>
          <w:bCs/>
        </w:rPr>
        <w:t xml:space="preserve">. </w:t>
      </w:r>
    </w:p>
    <w:p w14:paraId="1854FDE9" w14:textId="77777777" w:rsidR="00AE530B" w:rsidRPr="00DF55D4" w:rsidRDefault="00AE530B" w:rsidP="00DF55D4">
      <w:pPr>
        <w:pStyle w:val="Sinespaciado"/>
        <w:spacing w:line="276" w:lineRule="auto"/>
        <w:jc w:val="both"/>
        <w:rPr>
          <w:rFonts w:ascii="Arial" w:hAnsi="Arial" w:cs="Arial"/>
          <w:bCs/>
        </w:rPr>
      </w:pPr>
    </w:p>
    <w:p w14:paraId="0F9D9A01" w14:textId="2C05830B" w:rsidR="00AE530B" w:rsidRPr="00DF55D4" w:rsidRDefault="00AE530B" w:rsidP="00DF55D4">
      <w:pPr>
        <w:pStyle w:val="Sinespaciado"/>
        <w:spacing w:line="276" w:lineRule="auto"/>
        <w:jc w:val="both"/>
        <w:rPr>
          <w:rFonts w:ascii="Arial" w:hAnsi="Arial" w:cs="Arial"/>
        </w:rPr>
      </w:pPr>
      <w:r w:rsidRPr="00DF55D4">
        <w:rPr>
          <w:rFonts w:ascii="Arial" w:hAnsi="Arial" w:cs="Arial"/>
          <w:bCs/>
        </w:rPr>
        <w:t xml:space="preserve">Que a través del Auto de </w:t>
      </w:r>
      <w:r w:rsidR="00163043" w:rsidRPr="00DF55D4">
        <w:rPr>
          <w:rFonts w:ascii="Arial" w:hAnsi="Arial" w:cs="Arial"/>
          <w:bCs/>
          <w:highlight w:val="yellow"/>
        </w:rPr>
        <w:t>(</w:t>
      </w:r>
      <w:r w:rsidRPr="00DF55D4">
        <w:rPr>
          <w:rFonts w:ascii="Arial" w:hAnsi="Arial" w:cs="Arial"/>
          <w:bCs/>
          <w:highlight w:val="yellow"/>
        </w:rPr>
        <w:t>fecha</w:t>
      </w:r>
      <w:r w:rsidR="00163043" w:rsidRPr="00DF55D4">
        <w:rPr>
          <w:rFonts w:ascii="Arial" w:hAnsi="Arial" w:cs="Arial"/>
          <w:bCs/>
          <w:highlight w:val="yellow"/>
        </w:rPr>
        <w:t>)</w:t>
      </w:r>
      <w:r w:rsidRPr="00DF55D4">
        <w:rPr>
          <w:rFonts w:ascii="Arial" w:hAnsi="Arial" w:cs="Arial"/>
          <w:bCs/>
        </w:rPr>
        <w:t xml:space="preserve">, el Funcionario Ejecutor de la </w:t>
      </w:r>
      <w:r w:rsidR="00163043" w:rsidRPr="00DF55D4">
        <w:rPr>
          <w:rFonts w:ascii="Arial" w:hAnsi="Arial" w:cs="Arial"/>
          <w:bCs/>
        </w:rPr>
        <w:t xml:space="preserve">Regional </w:t>
      </w:r>
      <w:proofErr w:type="spellStart"/>
      <w:r w:rsidR="00163043" w:rsidRPr="00DF55D4">
        <w:rPr>
          <w:rFonts w:ascii="Arial" w:hAnsi="Arial" w:cs="Arial"/>
          <w:color w:val="074F6A" w:themeColor="accent4" w:themeShade="80"/>
          <w:highlight w:val="yellow"/>
        </w:rPr>
        <w:t>xxxx</w:t>
      </w:r>
      <w:proofErr w:type="spellEnd"/>
      <w:r w:rsidRPr="00DF55D4">
        <w:rPr>
          <w:rFonts w:ascii="Arial" w:hAnsi="Arial" w:cs="Arial"/>
          <w:bCs/>
        </w:rPr>
        <w:t xml:space="preserve"> del ICBF, avocó conocimiento del proceso </w:t>
      </w:r>
      <w:r w:rsidRPr="00DF55D4">
        <w:rPr>
          <w:rFonts w:ascii="Arial" w:hAnsi="Arial" w:cs="Arial"/>
        </w:rPr>
        <w:t xml:space="preserve">No. </w:t>
      </w:r>
      <w:proofErr w:type="spellStart"/>
      <w:r w:rsidR="00163043" w:rsidRPr="00DF55D4">
        <w:rPr>
          <w:rFonts w:ascii="Arial" w:hAnsi="Arial" w:cs="Arial"/>
          <w:color w:val="074F6A" w:themeColor="accent4" w:themeShade="80"/>
          <w:highlight w:val="yellow"/>
        </w:rPr>
        <w:t>xxxx</w:t>
      </w:r>
      <w:proofErr w:type="spellEnd"/>
      <w:r w:rsidRPr="00DF55D4">
        <w:rPr>
          <w:rFonts w:ascii="Arial" w:hAnsi="Arial" w:cs="Arial"/>
        </w:rPr>
        <w:t xml:space="preserve"> y mediante Resolución </w:t>
      </w:r>
      <w:r w:rsidR="00163043" w:rsidRPr="00DF55D4">
        <w:rPr>
          <w:rFonts w:ascii="Arial" w:hAnsi="Arial" w:cs="Arial"/>
          <w:highlight w:val="yellow"/>
        </w:rPr>
        <w:t>(número y fecha)</w:t>
      </w:r>
      <w:r w:rsidRPr="00DF55D4">
        <w:rPr>
          <w:rFonts w:ascii="Arial" w:hAnsi="Arial" w:cs="Arial"/>
        </w:rPr>
        <w:t xml:space="preserve">, libró mandamiento de pago en contra </w:t>
      </w:r>
      <w:r w:rsidR="00163043" w:rsidRPr="00DF55D4">
        <w:rPr>
          <w:rFonts w:ascii="Arial" w:hAnsi="Arial" w:cs="Arial"/>
          <w:highlight w:val="yellow"/>
        </w:rPr>
        <w:t>(DEUDOR)</w:t>
      </w:r>
      <w:r w:rsidRPr="00DF55D4">
        <w:rPr>
          <w:rFonts w:ascii="Arial" w:hAnsi="Arial" w:cs="Arial"/>
          <w:bCs/>
        </w:rPr>
        <w:t xml:space="preserve">, identificado con </w:t>
      </w:r>
      <w:proofErr w:type="spellStart"/>
      <w:r w:rsidR="00163043" w:rsidRPr="00DF55D4">
        <w:rPr>
          <w:rFonts w:ascii="Arial" w:hAnsi="Arial" w:cs="Arial"/>
          <w:color w:val="074F6A" w:themeColor="accent4" w:themeShade="80"/>
          <w:highlight w:val="yellow"/>
        </w:rPr>
        <w:t>xxxx</w:t>
      </w:r>
      <w:proofErr w:type="spellEnd"/>
      <w:r w:rsidRPr="00DF55D4">
        <w:rPr>
          <w:rFonts w:ascii="Arial" w:hAnsi="Arial" w:cs="Arial"/>
          <w:bCs/>
        </w:rPr>
        <w:t xml:space="preserve">, por la suma de </w:t>
      </w:r>
      <w:r w:rsidR="00163043" w:rsidRPr="00DF55D4">
        <w:rPr>
          <w:rFonts w:ascii="Arial" w:hAnsi="Arial" w:cs="Arial"/>
          <w:b/>
          <w:bCs/>
          <w:highlight w:val="yellow"/>
        </w:rPr>
        <w:t>(MONTO EN LETRAS)</w:t>
      </w:r>
      <w:r w:rsidRPr="00DF55D4">
        <w:rPr>
          <w:rFonts w:ascii="Arial" w:hAnsi="Arial" w:cs="Arial"/>
          <w:b/>
          <w:bCs/>
        </w:rPr>
        <w:t xml:space="preserve"> </w:t>
      </w:r>
      <w:r w:rsidRPr="00DF55D4">
        <w:rPr>
          <w:rFonts w:ascii="Arial" w:hAnsi="Arial" w:cs="Arial"/>
          <w:b/>
          <w:bCs/>
          <w:highlight w:val="yellow"/>
        </w:rPr>
        <w:t>($</w:t>
      </w:r>
      <w:proofErr w:type="spellStart"/>
      <w:r w:rsidR="00163043" w:rsidRPr="00DF55D4">
        <w:rPr>
          <w:rFonts w:ascii="Arial" w:hAnsi="Arial" w:cs="Arial"/>
          <w:b/>
          <w:bCs/>
          <w:highlight w:val="yellow"/>
        </w:rPr>
        <w:t>xxxx</w:t>
      </w:r>
      <w:proofErr w:type="spellEnd"/>
      <w:r w:rsidRPr="00DF55D4">
        <w:rPr>
          <w:rFonts w:ascii="Arial" w:hAnsi="Arial" w:cs="Arial"/>
          <w:b/>
          <w:bCs/>
        </w:rPr>
        <w:t>)</w:t>
      </w:r>
      <w:r w:rsidRPr="00DF55D4">
        <w:rPr>
          <w:rFonts w:ascii="Arial" w:hAnsi="Arial" w:cs="Arial"/>
        </w:rPr>
        <w:t xml:space="preserve"> más los intereses moratorios que se causen a partir de la fecha en que se hizo exigible la obligación y hasta la fecha de pago</w:t>
      </w:r>
      <w:r w:rsidR="00163043" w:rsidRPr="00DF55D4">
        <w:rPr>
          <w:rFonts w:ascii="Arial" w:hAnsi="Arial" w:cs="Arial"/>
        </w:rPr>
        <w:t xml:space="preserve"> total de la obligación,</w:t>
      </w:r>
      <w:r w:rsidRPr="00DF55D4">
        <w:rPr>
          <w:rFonts w:ascii="Arial" w:hAnsi="Arial" w:cs="Arial"/>
        </w:rPr>
        <w:t xml:space="preserve"> además de las costas procesales a que haya lugar.</w:t>
      </w:r>
    </w:p>
    <w:p w14:paraId="2C29E158" w14:textId="77777777" w:rsidR="00AE530B" w:rsidRPr="00DF55D4" w:rsidRDefault="00AE530B" w:rsidP="00DF55D4">
      <w:pPr>
        <w:pStyle w:val="Sinespaciado"/>
        <w:spacing w:line="276" w:lineRule="auto"/>
        <w:jc w:val="both"/>
        <w:rPr>
          <w:rFonts w:ascii="Arial" w:hAnsi="Arial" w:cs="Arial"/>
        </w:rPr>
      </w:pPr>
    </w:p>
    <w:p w14:paraId="5DB6C3A9" w14:textId="74EA86AB" w:rsidR="00AE530B" w:rsidRPr="00DF55D4" w:rsidRDefault="00AE530B" w:rsidP="00DF55D4">
      <w:pPr>
        <w:pStyle w:val="Sinespaciado"/>
        <w:spacing w:line="276" w:lineRule="auto"/>
        <w:jc w:val="both"/>
        <w:rPr>
          <w:rFonts w:ascii="Arial" w:hAnsi="Arial" w:cs="Arial"/>
        </w:rPr>
      </w:pPr>
      <w:r w:rsidRPr="00DF55D4">
        <w:rPr>
          <w:rFonts w:ascii="Arial" w:hAnsi="Arial" w:cs="Arial"/>
        </w:rPr>
        <w:t xml:space="preserve">Que el citado Acto Administrativo fue notificado por </w:t>
      </w:r>
      <w:r w:rsidR="00163043" w:rsidRPr="00DF55D4">
        <w:rPr>
          <w:rFonts w:ascii="Arial" w:hAnsi="Arial" w:cs="Arial"/>
          <w:highlight w:val="yellow"/>
        </w:rPr>
        <w:t>(forma y fecha)</w:t>
      </w:r>
      <w:r w:rsidRPr="00DF55D4">
        <w:rPr>
          <w:rFonts w:ascii="Arial" w:hAnsi="Arial" w:cs="Arial"/>
          <w:highlight w:val="yellow"/>
        </w:rPr>
        <w:t>,</w:t>
      </w:r>
      <w:r w:rsidRPr="00DF55D4">
        <w:rPr>
          <w:rFonts w:ascii="Arial" w:hAnsi="Arial" w:cs="Arial"/>
        </w:rPr>
        <w:t xml:space="preserve"> en cumplimiento a lo dispuesto en el artículo 826 del Estatuto Tributario Nacional.</w:t>
      </w:r>
    </w:p>
    <w:p w14:paraId="477D0A4D" w14:textId="77777777" w:rsidR="00AE530B" w:rsidRPr="00DF55D4" w:rsidRDefault="00AE530B" w:rsidP="00DF55D4">
      <w:pPr>
        <w:pStyle w:val="Sinespaciado"/>
        <w:spacing w:line="276" w:lineRule="auto"/>
        <w:jc w:val="both"/>
        <w:rPr>
          <w:rFonts w:ascii="Arial" w:hAnsi="Arial" w:cs="Arial"/>
        </w:rPr>
      </w:pPr>
    </w:p>
    <w:p w14:paraId="230118FF" w14:textId="4120650F" w:rsidR="00AE530B" w:rsidRPr="00DF55D4" w:rsidRDefault="00AE530B" w:rsidP="00DF55D4">
      <w:pPr>
        <w:pStyle w:val="Sinespaciado"/>
        <w:spacing w:line="276" w:lineRule="auto"/>
        <w:jc w:val="both"/>
        <w:rPr>
          <w:rFonts w:ascii="Arial" w:hAnsi="Arial" w:cs="Arial"/>
        </w:rPr>
      </w:pPr>
      <w:r w:rsidRPr="00DF55D4">
        <w:rPr>
          <w:rFonts w:ascii="Arial" w:hAnsi="Arial" w:cs="Arial"/>
        </w:rPr>
        <w:t xml:space="preserve">Que a través de oficio con radicado No. </w:t>
      </w:r>
      <w:proofErr w:type="spellStart"/>
      <w:r w:rsidR="00163043" w:rsidRPr="00DF55D4">
        <w:rPr>
          <w:rFonts w:ascii="Arial" w:hAnsi="Arial" w:cs="Arial"/>
          <w:color w:val="074F6A" w:themeColor="accent4" w:themeShade="80"/>
          <w:highlight w:val="yellow"/>
        </w:rPr>
        <w:t>xxxx</w:t>
      </w:r>
      <w:proofErr w:type="spellEnd"/>
      <w:r w:rsidRPr="00DF55D4">
        <w:rPr>
          <w:rFonts w:ascii="Arial" w:eastAsia="Times New Roman" w:hAnsi="Arial" w:cs="Arial"/>
          <w:lang w:val="es-CO" w:eastAsia="es-ES"/>
        </w:rPr>
        <w:t xml:space="preserve"> de </w:t>
      </w:r>
      <w:r w:rsidR="00163043" w:rsidRPr="00DF55D4">
        <w:rPr>
          <w:rFonts w:ascii="Arial" w:eastAsia="Times New Roman" w:hAnsi="Arial" w:cs="Arial"/>
          <w:highlight w:val="yellow"/>
          <w:lang w:val="es-CO" w:eastAsia="es-ES"/>
        </w:rPr>
        <w:t>(</w:t>
      </w:r>
      <w:r w:rsidRPr="00DF55D4">
        <w:rPr>
          <w:rFonts w:ascii="Arial" w:eastAsia="Times New Roman" w:hAnsi="Arial" w:cs="Arial"/>
          <w:highlight w:val="yellow"/>
          <w:lang w:val="es-CO" w:eastAsia="es-ES"/>
        </w:rPr>
        <w:t>fecha</w:t>
      </w:r>
      <w:r w:rsidR="00163043" w:rsidRPr="00DF55D4">
        <w:rPr>
          <w:rFonts w:ascii="Arial" w:eastAsia="Times New Roman" w:hAnsi="Arial" w:cs="Arial"/>
          <w:highlight w:val="yellow"/>
          <w:lang w:val="es-CO" w:eastAsia="es-ES"/>
        </w:rPr>
        <w:t>)</w:t>
      </w:r>
      <w:r w:rsidRPr="00DF55D4">
        <w:rPr>
          <w:rFonts w:ascii="Arial" w:eastAsia="Times New Roman" w:hAnsi="Arial" w:cs="Arial"/>
          <w:highlight w:val="yellow"/>
          <w:lang w:val="es-CO" w:eastAsia="es-ES"/>
        </w:rPr>
        <w:t>,</w:t>
      </w:r>
      <w:r w:rsidRPr="00DF55D4">
        <w:rPr>
          <w:rFonts w:ascii="Arial" w:eastAsia="Times New Roman" w:hAnsi="Arial" w:cs="Arial"/>
          <w:lang w:val="es-CO" w:eastAsia="es-ES"/>
        </w:rPr>
        <w:t xml:space="preserve"> el</w:t>
      </w:r>
      <w:r w:rsidR="00163043" w:rsidRPr="00DF55D4">
        <w:rPr>
          <w:rFonts w:ascii="Arial" w:eastAsia="Times New Roman" w:hAnsi="Arial" w:cs="Arial"/>
          <w:lang w:val="es-CO" w:eastAsia="es-ES"/>
        </w:rPr>
        <w:t xml:space="preserve"> </w:t>
      </w:r>
      <w:r w:rsidR="00163043" w:rsidRPr="00DF55D4">
        <w:rPr>
          <w:rFonts w:ascii="Arial" w:eastAsia="Times New Roman" w:hAnsi="Arial" w:cs="Arial"/>
          <w:highlight w:val="yellow"/>
          <w:lang w:val="es-CO" w:eastAsia="es-ES"/>
        </w:rPr>
        <w:t>(DEUDOR O APODERADO)</w:t>
      </w:r>
      <w:r w:rsidRPr="00DF55D4">
        <w:rPr>
          <w:rFonts w:ascii="Arial" w:hAnsi="Arial" w:cs="Arial"/>
          <w:bCs/>
        </w:rPr>
        <w:t xml:space="preserve">, presenta escrito de excepciones argumentando </w:t>
      </w:r>
      <w:r w:rsidR="005424A0" w:rsidRPr="00DF55D4">
        <w:rPr>
          <w:rFonts w:ascii="Arial" w:hAnsi="Arial" w:cs="Arial"/>
          <w:bCs/>
          <w:highlight w:val="yellow"/>
        </w:rPr>
        <w:t>(indicar la excepción a la que hace referencia)</w:t>
      </w:r>
      <w:r w:rsidRPr="00DF55D4">
        <w:rPr>
          <w:rFonts w:ascii="Arial" w:hAnsi="Arial" w:cs="Arial"/>
          <w:bCs/>
          <w:highlight w:val="yellow"/>
        </w:rPr>
        <w:t>.</w:t>
      </w:r>
      <w:r w:rsidRPr="00DF55D4">
        <w:rPr>
          <w:rFonts w:ascii="Arial" w:hAnsi="Arial" w:cs="Arial"/>
          <w:bCs/>
        </w:rPr>
        <w:t xml:space="preserve"> </w:t>
      </w:r>
    </w:p>
    <w:p w14:paraId="1D7C6882" w14:textId="77777777" w:rsidR="00AE530B" w:rsidRPr="00DF55D4" w:rsidRDefault="00AE530B" w:rsidP="00DF55D4">
      <w:pPr>
        <w:pStyle w:val="Sinespaciado"/>
        <w:spacing w:line="276" w:lineRule="auto"/>
        <w:jc w:val="both"/>
        <w:rPr>
          <w:rFonts w:ascii="Arial" w:hAnsi="Arial" w:cs="Arial"/>
          <w:bCs/>
        </w:rPr>
      </w:pPr>
    </w:p>
    <w:p w14:paraId="48C2114D" w14:textId="12D1CE0A" w:rsidR="00AE530B" w:rsidRPr="00DF55D4" w:rsidRDefault="00AE530B" w:rsidP="00DF55D4">
      <w:pPr>
        <w:pStyle w:val="Sinespaciado"/>
        <w:spacing w:line="276" w:lineRule="auto"/>
        <w:jc w:val="both"/>
        <w:rPr>
          <w:rFonts w:ascii="Arial" w:hAnsi="Arial" w:cs="Arial"/>
          <w:bCs/>
          <w:color w:val="074F6A" w:themeColor="accent4" w:themeShade="80"/>
        </w:rPr>
      </w:pPr>
      <w:proofErr w:type="gramStart"/>
      <w:r w:rsidRPr="00DF55D4">
        <w:rPr>
          <w:rFonts w:ascii="Arial" w:hAnsi="Arial" w:cs="Arial"/>
          <w:bCs/>
        </w:rPr>
        <w:t>Que</w:t>
      </w:r>
      <w:proofErr w:type="gramEnd"/>
      <w:r w:rsidRPr="00DF55D4">
        <w:rPr>
          <w:rFonts w:ascii="Arial" w:hAnsi="Arial" w:cs="Arial"/>
          <w:bCs/>
        </w:rPr>
        <w:t xml:space="preserve"> respecto al primer cargo, el apoderado manifestó </w:t>
      </w:r>
      <w:r w:rsidRPr="00DF55D4">
        <w:rPr>
          <w:rFonts w:ascii="Arial" w:hAnsi="Arial" w:cs="Arial"/>
          <w:bCs/>
          <w:color w:val="074F6A" w:themeColor="accent4" w:themeShade="80"/>
          <w:highlight w:val="yellow"/>
        </w:rPr>
        <w:t>que existe “ausencia de requisitos previos para el perfeccionamiento del acto administrativo aducido como título de ejecución”, por otra parte “no se ha integrado el título con el informe y demás documentos a que se refiere el acta de liquidación” e “incongruencia entre lo señalado en el acta de liquidación y el monto del mandamiento de pago”</w:t>
      </w:r>
    </w:p>
    <w:p w14:paraId="581E9B27" w14:textId="77777777" w:rsidR="00AE530B" w:rsidRPr="00DF55D4" w:rsidRDefault="00AE530B" w:rsidP="00DF55D4">
      <w:pPr>
        <w:pStyle w:val="Sinespaciado"/>
        <w:spacing w:line="276" w:lineRule="auto"/>
        <w:jc w:val="both"/>
        <w:rPr>
          <w:rFonts w:ascii="Arial" w:hAnsi="Arial" w:cs="Arial"/>
          <w:bCs/>
        </w:rPr>
      </w:pPr>
    </w:p>
    <w:p w14:paraId="2932FB64" w14:textId="77777777" w:rsidR="00AE530B" w:rsidRPr="00DF55D4" w:rsidRDefault="00AE530B" w:rsidP="00DF55D4">
      <w:pPr>
        <w:pStyle w:val="Sinespaciado"/>
        <w:spacing w:line="276" w:lineRule="auto"/>
        <w:jc w:val="both"/>
        <w:rPr>
          <w:rFonts w:ascii="Arial" w:hAnsi="Arial" w:cs="Arial"/>
          <w:bCs/>
        </w:rPr>
      </w:pPr>
      <w:proofErr w:type="gramStart"/>
      <w:r w:rsidRPr="00DF55D4">
        <w:rPr>
          <w:rFonts w:ascii="Arial" w:hAnsi="Arial" w:cs="Arial"/>
          <w:bCs/>
        </w:rPr>
        <w:t>Que</w:t>
      </w:r>
      <w:proofErr w:type="gramEnd"/>
      <w:r w:rsidRPr="00DF55D4">
        <w:rPr>
          <w:rFonts w:ascii="Arial" w:hAnsi="Arial" w:cs="Arial"/>
          <w:bCs/>
        </w:rPr>
        <w:t xml:space="preserve"> en relación al segundo cargo, </w:t>
      </w:r>
      <w:r w:rsidRPr="00DF55D4">
        <w:rPr>
          <w:rFonts w:ascii="Arial" w:hAnsi="Arial" w:cs="Arial"/>
          <w:bCs/>
          <w:color w:val="074F6A" w:themeColor="accent4" w:themeShade="80"/>
          <w:highlight w:val="yellow"/>
        </w:rPr>
        <w:t>falta de competencia, expone el apoderado del deudor que “(…) el presente asunto no debió ventilarse por el cobro coactivo puesto que su conocimiento corresponde a la Jurisdicción Contencioso-Administrativa, en razón a que se trata de un proceso ejecutivo originado en el Convenio Interadministrativo No. 686 de 2015 (…)”</w:t>
      </w:r>
      <w:r w:rsidRPr="00DF55D4">
        <w:rPr>
          <w:rFonts w:ascii="Arial" w:hAnsi="Arial" w:cs="Arial"/>
          <w:bCs/>
          <w:color w:val="074F6A" w:themeColor="accent4" w:themeShade="80"/>
        </w:rPr>
        <w:t xml:space="preserve"> </w:t>
      </w:r>
      <w:r w:rsidRPr="00DF55D4">
        <w:rPr>
          <w:rFonts w:ascii="Arial" w:hAnsi="Arial" w:cs="Arial"/>
          <w:bCs/>
        </w:rPr>
        <w:t xml:space="preserve"> </w:t>
      </w:r>
    </w:p>
    <w:p w14:paraId="23E2E51A" w14:textId="77777777" w:rsidR="00AE530B" w:rsidRPr="00DF55D4" w:rsidRDefault="00AE530B" w:rsidP="00DF55D4">
      <w:pPr>
        <w:spacing w:after="0"/>
        <w:contextualSpacing/>
        <w:jc w:val="both"/>
        <w:rPr>
          <w:rFonts w:ascii="Arial" w:eastAsia="Times New Roman" w:hAnsi="Arial" w:cs="Arial"/>
          <w:color w:val="0070C0"/>
          <w:lang w:val="es-CO" w:eastAsia="es-ES"/>
        </w:rPr>
      </w:pPr>
    </w:p>
    <w:p w14:paraId="527BCBA5" w14:textId="77777777" w:rsidR="00AE530B" w:rsidRPr="00DF55D4" w:rsidRDefault="00AE530B" w:rsidP="00DF55D4">
      <w:pPr>
        <w:spacing w:after="0"/>
        <w:contextualSpacing/>
        <w:jc w:val="center"/>
        <w:rPr>
          <w:rFonts w:ascii="Arial" w:eastAsia="Times New Roman" w:hAnsi="Arial" w:cs="Arial"/>
          <w:b/>
          <w:bCs/>
          <w:lang w:val="es-CO" w:eastAsia="es-ES"/>
        </w:rPr>
      </w:pPr>
      <w:r w:rsidRPr="00DF55D4">
        <w:rPr>
          <w:rFonts w:ascii="Arial" w:eastAsia="Times New Roman" w:hAnsi="Arial" w:cs="Arial"/>
          <w:b/>
          <w:bCs/>
          <w:lang w:val="es-CO" w:eastAsia="es-ES"/>
        </w:rPr>
        <w:t>CONSIDERACIONES</w:t>
      </w:r>
    </w:p>
    <w:p w14:paraId="7240516E" w14:textId="77777777" w:rsidR="00AE530B" w:rsidRPr="00DF55D4" w:rsidRDefault="00AE530B" w:rsidP="00DF55D4">
      <w:pPr>
        <w:spacing w:after="0"/>
        <w:contextualSpacing/>
        <w:jc w:val="both"/>
        <w:rPr>
          <w:rFonts w:ascii="Arial" w:eastAsia="Times New Roman" w:hAnsi="Arial" w:cs="Arial"/>
          <w:b/>
          <w:bCs/>
          <w:lang w:val="es-CO" w:eastAsia="es-ES"/>
        </w:rPr>
      </w:pPr>
    </w:p>
    <w:p w14:paraId="2880D6A8" w14:textId="22EEAEC3" w:rsidR="00AE530B" w:rsidRPr="00DF55D4" w:rsidRDefault="00AE530B" w:rsidP="00DF55D4">
      <w:pPr>
        <w:pStyle w:val="Sinespaciado"/>
        <w:spacing w:line="276" w:lineRule="auto"/>
        <w:jc w:val="both"/>
        <w:rPr>
          <w:rFonts w:ascii="Arial" w:eastAsia="Times New Roman" w:hAnsi="Arial" w:cs="Arial"/>
          <w:lang w:val="es-CO" w:eastAsia="es-ES"/>
        </w:rPr>
      </w:pPr>
      <w:r w:rsidRPr="00DF55D4">
        <w:rPr>
          <w:rFonts w:ascii="Arial" w:eastAsia="Times New Roman" w:hAnsi="Arial" w:cs="Arial"/>
          <w:lang w:val="es-CO" w:eastAsia="es-ES"/>
        </w:rPr>
        <w:t xml:space="preserve">Procede la administración a pronunciarse frente al escrito de Excepciones al Mandamiento de Pago conforme a lo establecido en los artículos 831 y 832 del Estatuto Tributario Nacional, analizando 1) Oportunidad y Procedencia. 2) Análisis de fondo a las causales alegadas por </w:t>
      </w:r>
      <w:r w:rsidR="005424A0" w:rsidRPr="00DF55D4">
        <w:rPr>
          <w:rFonts w:ascii="Arial" w:eastAsia="Times New Roman" w:hAnsi="Arial" w:cs="Arial"/>
          <w:highlight w:val="yellow"/>
          <w:lang w:val="es-CO" w:eastAsia="es-ES"/>
        </w:rPr>
        <w:t>(DEUDOR O APODERADO)</w:t>
      </w:r>
      <w:r w:rsidR="005424A0" w:rsidRPr="00DF55D4">
        <w:rPr>
          <w:rFonts w:ascii="Arial" w:eastAsia="Times New Roman" w:hAnsi="Arial" w:cs="Arial"/>
          <w:lang w:val="es-CO" w:eastAsia="es-ES"/>
        </w:rPr>
        <w:t xml:space="preserve"> </w:t>
      </w:r>
      <w:r w:rsidRPr="00DF55D4">
        <w:rPr>
          <w:rFonts w:ascii="Arial" w:eastAsia="Times New Roman" w:hAnsi="Arial" w:cs="Arial"/>
          <w:lang w:val="es-CO" w:eastAsia="es-ES"/>
        </w:rPr>
        <w:t xml:space="preserve">en </w:t>
      </w:r>
      <w:r w:rsidR="005424A0" w:rsidRPr="00DF55D4">
        <w:rPr>
          <w:rFonts w:ascii="Arial" w:eastAsia="Times New Roman" w:hAnsi="Arial" w:cs="Arial"/>
          <w:lang w:val="es-CO" w:eastAsia="es-ES"/>
        </w:rPr>
        <w:t>el escrito radicado</w:t>
      </w:r>
      <w:r w:rsidRPr="00DF55D4">
        <w:rPr>
          <w:rFonts w:ascii="Arial" w:eastAsia="Times New Roman" w:hAnsi="Arial" w:cs="Arial"/>
          <w:lang w:val="es-CO" w:eastAsia="es-ES"/>
        </w:rPr>
        <w:t xml:space="preserve"> en la Entidad. </w:t>
      </w:r>
    </w:p>
    <w:p w14:paraId="71B7C1DF" w14:textId="77777777" w:rsidR="00AE530B" w:rsidRPr="00DF55D4" w:rsidRDefault="00AE530B" w:rsidP="00DF55D4">
      <w:pPr>
        <w:spacing w:after="0"/>
        <w:ind w:hanging="284"/>
        <w:contextualSpacing/>
        <w:jc w:val="both"/>
        <w:rPr>
          <w:rFonts w:ascii="Arial" w:eastAsia="Times New Roman" w:hAnsi="Arial" w:cs="Arial"/>
          <w:lang w:val="es-CO" w:eastAsia="es-ES"/>
        </w:rPr>
      </w:pPr>
    </w:p>
    <w:p w14:paraId="319575DC" w14:textId="77777777" w:rsidR="00AE530B" w:rsidRPr="00DF55D4" w:rsidRDefault="00AE530B" w:rsidP="00DF55D4">
      <w:pPr>
        <w:pStyle w:val="Prrafodelista"/>
        <w:numPr>
          <w:ilvl w:val="0"/>
          <w:numId w:val="1"/>
        </w:numPr>
        <w:tabs>
          <w:tab w:val="left" w:pos="284"/>
        </w:tabs>
        <w:spacing w:after="0"/>
        <w:ind w:left="0" w:firstLine="0"/>
        <w:jc w:val="both"/>
        <w:rPr>
          <w:rFonts w:ascii="Arial" w:eastAsia="Times New Roman" w:hAnsi="Arial" w:cs="Arial"/>
          <w:b/>
          <w:bCs/>
          <w:lang w:val="es-CO" w:eastAsia="es-ES"/>
        </w:rPr>
      </w:pPr>
      <w:r w:rsidRPr="00DF55D4">
        <w:rPr>
          <w:rFonts w:ascii="Arial" w:eastAsia="Times New Roman" w:hAnsi="Arial" w:cs="Arial"/>
          <w:b/>
          <w:bCs/>
          <w:lang w:val="es-CO" w:eastAsia="es-ES"/>
        </w:rPr>
        <w:t>OPORTUNIDAD Y PROCEDENCIA DE EXCEPCIONES</w:t>
      </w:r>
    </w:p>
    <w:p w14:paraId="4DD7377D" w14:textId="77777777" w:rsidR="00AE530B" w:rsidRPr="00DF55D4" w:rsidRDefault="00AE530B" w:rsidP="00DF55D4">
      <w:pPr>
        <w:pStyle w:val="Prrafodelista"/>
        <w:spacing w:after="0"/>
        <w:ind w:left="0"/>
        <w:jc w:val="both"/>
        <w:rPr>
          <w:rFonts w:ascii="Arial" w:eastAsia="Times New Roman" w:hAnsi="Arial" w:cs="Arial"/>
          <w:lang w:val="es-CO" w:eastAsia="es-ES"/>
        </w:rPr>
      </w:pPr>
    </w:p>
    <w:p w14:paraId="54788396" w14:textId="77777777" w:rsidR="00AE530B" w:rsidRPr="00DF55D4" w:rsidRDefault="00AE530B" w:rsidP="00DF55D4">
      <w:pPr>
        <w:pStyle w:val="Prrafodelista"/>
        <w:numPr>
          <w:ilvl w:val="1"/>
          <w:numId w:val="1"/>
        </w:numPr>
        <w:spacing w:after="0"/>
        <w:ind w:left="0" w:firstLine="0"/>
        <w:jc w:val="both"/>
        <w:rPr>
          <w:rFonts w:ascii="Arial" w:eastAsia="Times New Roman" w:hAnsi="Arial" w:cs="Arial"/>
          <w:b/>
          <w:bCs/>
          <w:lang w:val="es-CO" w:eastAsia="es-ES"/>
        </w:rPr>
      </w:pPr>
      <w:r w:rsidRPr="00DF55D4">
        <w:rPr>
          <w:rFonts w:ascii="Arial" w:eastAsia="Times New Roman" w:hAnsi="Arial" w:cs="Arial"/>
          <w:b/>
          <w:bCs/>
          <w:lang w:val="es-CO" w:eastAsia="es-ES"/>
        </w:rPr>
        <w:t>Oportunidad</w:t>
      </w:r>
    </w:p>
    <w:p w14:paraId="2E5CEEC8" w14:textId="77777777" w:rsidR="00AE530B" w:rsidRPr="00DF55D4" w:rsidRDefault="00AE530B" w:rsidP="00DF55D4">
      <w:pPr>
        <w:spacing w:after="0"/>
        <w:jc w:val="both"/>
        <w:rPr>
          <w:rFonts w:ascii="Arial" w:eastAsia="Times New Roman" w:hAnsi="Arial" w:cs="Arial"/>
          <w:color w:val="0070C0"/>
          <w:lang w:val="es-CO" w:eastAsia="es-ES"/>
        </w:rPr>
      </w:pPr>
    </w:p>
    <w:p w14:paraId="3E41279A"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El artículo 830 del Estatuto Tributario establece que el deudor cuenta con un término de 15 días, contados a partir de la fecha en que fue notificado de la resolución por la cual se libra el mandamiento de pago, para presentar el escrito en el cual se plantean las excepciones. </w:t>
      </w:r>
    </w:p>
    <w:p w14:paraId="64991A95" w14:textId="77777777" w:rsidR="00AE530B" w:rsidRPr="00DF55D4" w:rsidRDefault="00AE530B" w:rsidP="00DF55D4">
      <w:pPr>
        <w:spacing w:after="0"/>
        <w:contextualSpacing/>
        <w:jc w:val="both"/>
        <w:rPr>
          <w:rFonts w:ascii="Arial" w:eastAsia="Times New Roman" w:hAnsi="Arial" w:cs="Arial"/>
          <w:lang w:val="es-CO" w:eastAsia="es-ES"/>
        </w:rPr>
      </w:pPr>
    </w:p>
    <w:p w14:paraId="609DA596" w14:textId="412EC572"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A través de los oficios con radicados Nos.</w:t>
      </w:r>
      <w:r w:rsidR="005424A0" w:rsidRPr="00DF55D4">
        <w:rPr>
          <w:rFonts w:ascii="Arial" w:eastAsia="Times New Roman" w:hAnsi="Arial" w:cs="Arial"/>
          <w:lang w:val="es-CO" w:eastAsia="es-ES"/>
        </w:rPr>
        <w:t xml:space="preserve"> </w:t>
      </w:r>
      <w:proofErr w:type="spellStart"/>
      <w:r w:rsidR="005424A0" w:rsidRPr="00DF55D4">
        <w:rPr>
          <w:rFonts w:ascii="Arial" w:eastAsia="Times New Roman" w:hAnsi="Arial" w:cs="Arial"/>
          <w:highlight w:val="yellow"/>
          <w:lang w:val="es-CO" w:eastAsia="es-ES"/>
        </w:rPr>
        <w:t>xxx</w:t>
      </w:r>
      <w:proofErr w:type="spellEnd"/>
      <w:r w:rsidRPr="00DF55D4">
        <w:rPr>
          <w:rFonts w:ascii="Arial" w:eastAsia="Times New Roman" w:hAnsi="Arial" w:cs="Arial"/>
          <w:lang w:val="es-CO" w:eastAsia="es-ES"/>
        </w:rPr>
        <w:t xml:space="preserve"> </w:t>
      </w:r>
      <w:r w:rsidR="005424A0" w:rsidRPr="00DF55D4">
        <w:rPr>
          <w:rFonts w:ascii="Arial" w:eastAsia="Times New Roman" w:hAnsi="Arial" w:cs="Arial"/>
          <w:lang w:val="es-CO" w:eastAsia="es-ES"/>
        </w:rPr>
        <w:t>el</w:t>
      </w:r>
      <w:r w:rsidR="005424A0" w:rsidRPr="00DF55D4">
        <w:rPr>
          <w:rFonts w:ascii="Arial" w:eastAsia="Times New Roman" w:hAnsi="Arial" w:cs="Arial"/>
          <w:highlight w:val="yellow"/>
          <w:lang w:val="es-CO" w:eastAsia="es-ES"/>
        </w:rPr>
        <w:t xml:space="preserve"> (DEUDOR O APODERADO)</w:t>
      </w:r>
      <w:r w:rsidRPr="00DF55D4">
        <w:rPr>
          <w:rFonts w:ascii="Arial" w:eastAsia="Times New Roman" w:hAnsi="Arial" w:cs="Arial"/>
          <w:lang w:val="es-CO" w:eastAsia="es-ES"/>
        </w:rPr>
        <w:t>, radic</w:t>
      </w:r>
      <w:r w:rsidR="005424A0" w:rsidRPr="00DF55D4">
        <w:rPr>
          <w:rFonts w:ascii="Arial" w:eastAsia="Times New Roman" w:hAnsi="Arial" w:cs="Arial"/>
          <w:lang w:val="es-CO" w:eastAsia="es-ES"/>
        </w:rPr>
        <w:t>ó</w:t>
      </w:r>
      <w:r w:rsidRPr="00DF55D4">
        <w:rPr>
          <w:rFonts w:ascii="Arial" w:eastAsia="Times New Roman" w:hAnsi="Arial" w:cs="Arial"/>
          <w:lang w:val="es-CO" w:eastAsia="es-ES"/>
        </w:rPr>
        <w:t xml:space="preserve"> ante la Entidad el día </w:t>
      </w:r>
      <w:r w:rsidR="005424A0" w:rsidRPr="00DF55D4">
        <w:rPr>
          <w:rFonts w:ascii="Arial" w:eastAsia="Times New Roman" w:hAnsi="Arial" w:cs="Arial"/>
          <w:highlight w:val="yellow"/>
          <w:lang w:val="es-CO" w:eastAsia="es-ES"/>
        </w:rPr>
        <w:t>(fecha)</w:t>
      </w:r>
      <w:r w:rsidRPr="00DF55D4">
        <w:rPr>
          <w:rFonts w:ascii="Arial" w:eastAsia="Times New Roman" w:hAnsi="Arial" w:cs="Arial"/>
          <w:lang w:val="es-CO" w:eastAsia="es-ES"/>
        </w:rPr>
        <w:t xml:space="preserve">, escritos mediante los cuales formula excepciones al contenido de la Resolución </w:t>
      </w:r>
      <w:r w:rsidR="005424A0" w:rsidRPr="00DF55D4">
        <w:rPr>
          <w:rFonts w:ascii="Arial" w:eastAsia="Times New Roman" w:hAnsi="Arial" w:cs="Arial"/>
          <w:highlight w:val="yellow"/>
          <w:lang w:val="es-CO" w:eastAsia="es-ES"/>
        </w:rPr>
        <w:t>(número y fecha)</w:t>
      </w:r>
      <w:r w:rsidRPr="00DF55D4">
        <w:rPr>
          <w:rFonts w:ascii="Arial" w:eastAsia="Times New Roman" w:hAnsi="Arial" w:cs="Arial"/>
          <w:lang w:val="es-CO" w:eastAsia="es-ES"/>
        </w:rPr>
        <w:t xml:space="preserve">, por la cual se libra mandamiento de pago, encontrándose dentro del término establecido por la norma. </w:t>
      </w:r>
    </w:p>
    <w:p w14:paraId="1AE65512" w14:textId="77777777" w:rsidR="00AE530B" w:rsidRPr="00DF55D4" w:rsidRDefault="00AE530B" w:rsidP="00DF55D4">
      <w:pPr>
        <w:spacing w:after="0"/>
        <w:contextualSpacing/>
        <w:jc w:val="both"/>
        <w:rPr>
          <w:rFonts w:ascii="Arial" w:eastAsia="Times New Roman" w:hAnsi="Arial" w:cs="Arial"/>
          <w:lang w:val="es-CO" w:eastAsia="es-ES"/>
        </w:rPr>
      </w:pPr>
    </w:p>
    <w:p w14:paraId="115A4465" w14:textId="4E6AD264"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En el entendido que el mandamiento de pago fue notificado por </w:t>
      </w:r>
      <w:r w:rsidR="005424A0" w:rsidRPr="00DF55D4">
        <w:rPr>
          <w:rFonts w:ascii="Arial" w:eastAsia="Times New Roman" w:hAnsi="Arial" w:cs="Arial"/>
          <w:highlight w:val="yellow"/>
          <w:lang w:val="es-CO" w:eastAsia="es-ES"/>
        </w:rPr>
        <w:t>(forma notificación)</w:t>
      </w:r>
      <w:r w:rsidRPr="00DF55D4">
        <w:rPr>
          <w:rFonts w:ascii="Arial" w:eastAsia="Times New Roman" w:hAnsi="Arial" w:cs="Arial"/>
          <w:lang w:val="es-CO" w:eastAsia="es-ES"/>
        </w:rPr>
        <w:t xml:space="preserve"> el día </w:t>
      </w:r>
      <w:r w:rsidR="005424A0" w:rsidRPr="00DF55D4">
        <w:rPr>
          <w:rFonts w:ascii="Arial" w:eastAsia="Times New Roman" w:hAnsi="Arial" w:cs="Arial"/>
          <w:highlight w:val="yellow"/>
          <w:lang w:val="es-CO" w:eastAsia="es-ES"/>
        </w:rPr>
        <w:t>(fecha)</w:t>
      </w:r>
      <w:r w:rsidR="005424A0" w:rsidRPr="00DF55D4">
        <w:rPr>
          <w:rFonts w:ascii="Arial" w:eastAsia="Times New Roman" w:hAnsi="Arial" w:cs="Arial"/>
          <w:lang w:val="es-CO" w:eastAsia="es-ES"/>
        </w:rPr>
        <w:t xml:space="preserve"> </w:t>
      </w:r>
      <w:r w:rsidRPr="00DF55D4">
        <w:rPr>
          <w:rFonts w:ascii="Arial" w:eastAsia="Times New Roman" w:hAnsi="Arial" w:cs="Arial"/>
          <w:lang w:val="es-CO" w:eastAsia="es-ES"/>
        </w:rPr>
        <w:t xml:space="preserve">y que </w:t>
      </w:r>
      <w:r w:rsidR="005424A0" w:rsidRPr="00DF55D4">
        <w:rPr>
          <w:rFonts w:ascii="Arial" w:eastAsia="Times New Roman" w:hAnsi="Arial" w:cs="Arial"/>
          <w:lang w:val="es-CO" w:eastAsia="es-ES"/>
        </w:rPr>
        <w:t>el</w:t>
      </w:r>
      <w:r w:rsidRPr="00DF55D4">
        <w:rPr>
          <w:rFonts w:ascii="Arial" w:eastAsia="Times New Roman" w:hAnsi="Arial" w:cs="Arial"/>
          <w:lang w:val="es-CO" w:eastAsia="es-ES"/>
        </w:rPr>
        <w:t xml:space="preserve"> escrito de excepciones se </w:t>
      </w:r>
      <w:r w:rsidR="005424A0" w:rsidRPr="00DF55D4">
        <w:rPr>
          <w:rFonts w:ascii="Arial" w:eastAsia="Times New Roman" w:hAnsi="Arial" w:cs="Arial"/>
          <w:lang w:val="es-CO" w:eastAsia="es-ES"/>
        </w:rPr>
        <w:t>radicó</w:t>
      </w:r>
      <w:r w:rsidRPr="00DF55D4">
        <w:rPr>
          <w:rFonts w:ascii="Arial" w:eastAsia="Times New Roman" w:hAnsi="Arial" w:cs="Arial"/>
          <w:lang w:val="es-CO" w:eastAsia="es-ES"/>
        </w:rPr>
        <w:t xml:space="preserve"> el </w:t>
      </w:r>
      <w:r w:rsidR="005424A0" w:rsidRPr="00DF55D4">
        <w:rPr>
          <w:rFonts w:ascii="Arial" w:eastAsia="Times New Roman" w:hAnsi="Arial" w:cs="Arial"/>
          <w:highlight w:val="yellow"/>
          <w:lang w:val="es-CO" w:eastAsia="es-ES"/>
        </w:rPr>
        <w:t>(fecha)</w:t>
      </w:r>
      <w:r w:rsidRPr="00DF55D4">
        <w:rPr>
          <w:rFonts w:ascii="Arial" w:eastAsia="Times New Roman" w:hAnsi="Arial" w:cs="Arial"/>
          <w:lang w:val="es-CO" w:eastAsia="es-ES"/>
        </w:rPr>
        <w:t xml:space="preserve">, 15 días después de la notificación del mandamiento de pago, encontrándose dentro del término establecido por la norma. </w:t>
      </w:r>
    </w:p>
    <w:p w14:paraId="4EFE9AA7" w14:textId="77777777" w:rsidR="00AE530B" w:rsidRPr="00DF55D4" w:rsidRDefault="00AE530B" w:rsidP="00DF55D4">
      <w:pPr>
        <w:spacing w:after="0"/>
        <w:contextualSpacing/>
        <w:jc w:val="both"/>
        <w:rPr>
          <w:rFonts w:ascii="Arial" w:eastAsia="Times New Roman" w:hAnsi="Arial" w:cs="Arial"/>
          <w:lang w:val="es-CO" w:eastAsia="es-ES"/>
        </w:rPr>
      </w:pPr>
    </w:p>
    <w:p w14:paraId="187FC8D8" w14:textId="77777777" w:rsidR="00AE530B" w:rsidRPr="00DF55D4" w:rsidRDefault="00AE530B" w:rsidP="00DF55D4">
      <w:pPr>
        <w:pStyle w:val="Prrafodelista"/>
        <w:numPr>
          <w:ilvl w:val="1"/>
          <w:numId w:val="1"/>
        </w:numPr>
        <w:spacing w:after="0"/>
        <w:ind w:left="0" w:firstLine="0"/>
        <w:jc w:val="both"/>
        <w:rPr>
          <w:rFonts w:ascii="Arial" w:eastAsia="Times New Roman" w:hAnsi="Arial" w:cs="Arial"/>
          <w:b/>
          <w:bCs/>
          <w:lang w:val="es-CO" w:eastAsia="es-ES"/>
        </w:rPr>
      </w:pPr>
      <w:r w:rsidRPr="00DF55D4">
        <w:rPr>
          <w:rFonts w:ascii="Arial" w:eastAsia="Times New Roman" w:hAnsi="Arial" w:cs="Arial"/>
          <w:b/>
          <w:bCs/>
          <w:lang w:val="es-CO" w:eastAsia="es-ES"/>
        </w:rPr>
        <w:t xml:space="preserve">Procedencia </w:t>
      </w:r>
    </w:p>
    <w:p w14:paraId="7948C794" w14:textId="77777777" w:rsidR="00AE530B" w:rsidRPr="00DF55D4" w:rsidRDefault="00AE530B" w:rsidP="00DF55D4">
      <w:pPr>
        <w:spacing w:after="0"/>
        <w:contextualSpacing/>
        <w:jc w:val="both"/>
        <w:rPr>
          <w:rFonts w:ascii="Arial" w:eastAsia="Times New Roman" w:hAnsi="Arial" w:cs="Arial"/>
          <w:lang w:val="es-CO" w:eastAsia="es-ES"/>
        </w:rPr>
      </w:pPr>
    </w:p>
    <w:p w14:paraId="781D730C"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El Estatuto Tributario dispone en su artículo 831, las excepciones que proceden contra el mandamiento de pago: </w:t>
      </w:r>
      <w:r w:rsidRPr="00DF55D4">
        <w:rPr>
          <w:rFonts w:ascii="Arial" w:eastAsia="Times New Roman" w:hAnsi="Arial" w:cs="Arial"/>
          <w:lang w:val="es-CO" w:eastAsia="es-ES"/>
        </w:rPr>
        <w:tab/>
      </w:r>
    </w:p>
    <w:p w14:paraId="1CD37DFC" w14:textId="77777777" w:rsidR="00AE530B" w:rsidRPr="00DF55D4" w:rsidRDefault="00AE530B" w:rsidP="00DF55D4">
      <w:pPr>
        <w:spacing w:after="0"/>
        <w:contextualSpacing/>
        <w:jc w:val="both"/>
        <w:rPr>
          <w:rFonts w:ascii="Arial" w:eastAsia="Times New Roman" w:hAnsi="Arial" w:cs="Arial"/>
          <w:lang w:val="es-CO" w:eastAsia="es-ES"/>
        </w:rPr>
      </w:pPr>
    </w:p>
    <w:p w14:paraId="7894F24D"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“Excepciones. Contra el mandamiento de pago procederán las siguientes excepciones: </w:t>
      </w:r>
    </w:p>
    <w:p w14:paraId="0520784D"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1. El pago efectivo. </w:t>
      </w:r>
    </w:p>
    <w:p w14:paraId="49B3CD0E"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2. La existencia de acuerdo de pago. </w:t>
      </w:r>
    </w:p>
    <w:p w14:paraId="11CE7CF0"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3. La de falta de ejecutoria del título. </w:t>
      </w:r>
    </w:p>
    <w:p w14:paraId="399BB76A"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4. La pérdida de ejecutoria del título por revocación o suspensión provisional del acto administrativo, hecha por autoridad competente. </w:t>
      </w:r>
    </w:p>
    <w:p w14:paraId="25D82823"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5. La interposición de demandas de restablecimiento del derecho o de proceso de revisión de impuestos, ante la jurisdicción de lo contencioso administrativo. </w:t>
      </w:r>
    </w:p>
    <w:p w14:paraId="70889D41"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6. La prescripción de la acción de cobro, y </w:t>
      </w:r>
    </w:p>
    <w:p w14:paraId="4405BEF3"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7. La falta de título ejecutivo o incompetencia del funcionario que lo profirió. </w:t>
      </w:r>
    </w:p>
    <w:p w14:paraId="2B7B3F54"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PAR. Contra el mandamiento de pago que vincule los deudores solidarios </w:t>
      </w:r>
      <w:proofErr w:type="gramStart"/>
      <w:r w:rsidRPr="00DF55D4">
        <w:rPr>
          <w:rFonts w:ascii="Arial" w:eastAsia="Times New Roman" w:hAnsi="Arial" w:cs="Arial"/>
          <w:lang w:val="es-CO" w:eastAsia="es-ES"/>
        </w:rPr>
        <w:t>procederán</w:t>
      </w:r>
      <w:proofErr w:type="gramEnd"/>
      <w:r w:rsidRPr="00DF55D4">
        <w:rPr>
          <w:rFonts w:ascii="Arial" w:eastAsia="Times New Roman" w:hAnsi="Arial" w:cs="Arial"/>
          <w:lang w:val="es-CO" w:eastAsia="es-ES"/>
        </w:rPr>
        <w:t xml:space="preserve"> además, las siguientes excepciones: </w:t>
      </w:r>
    </w:p>
    <w:p w14:paraId="32394532"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1. La calidad de deudor solidario. </w:t>
      </w:r>
    </w:p>
    <w:p w14:paraId="5A20542C"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lastRenderedPageBreak/>
        <w:t>2. La indebida tasación del monto de la deuda.”</w:t>
      </w:r>
      <w:r w:rsidRPr="00DF55D4">
        <w:rPr>
          <w:rFonts w:ascii="Arial" w:eastAsia="Times New Roman" w:hAnsi="Arial" w:cs="Arial"/>
          <w:lang w:val="es-CO" w:eastAsia="es-ES"/>
        </w:rPr>
        <w:tab/>
      </w:r>
    </w:p>
    <w:p w14:paraId="254A00FD" w14:textId="77777777" w:rsidR="00AE530B" w:rsidRPr="00DF55D4" w:rsidRDefault="00AE530B" w:rsidP="00DF55D4">
      <w:pPr>
        <w:spacing w:after="0"/>
        <w:contextualSpacing/>
        <w:jc w:val="both"/>
        <w:rPr>
          <w:rFonts w:ascii="Arial" w:eastAsia="Times New Roman" w:hAnsi="Arial" w:cs="Arial"/>
          <w:color w:val="0070C0"/>
          <w:lang w:val="es-CO" w:eastAsia="es-ES"/>
        </w:rPr>
      </w:pPr>
    </w:p>
    <w:p w14:paraId="2314BE0F" w14:textId="1FD44422"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Del anterior artículo se evidencia que, para el caso en estudio, el escrito con radicado </w:t>
      </w:r>
      <w:r w:rsidRPr="00DF55D4">
        <w:rPr>
          <w:rFonts w:ascii="Arial" w:hAnsi="Arial" w:cs="Arial"/>
        </w:rPr>
        <w:t>No.</w:t>
      </w:r>
      <w:r w:rsidR="005424A0" w:rsidRPr="00DF55D4">
        <w:rPr>
          <w:rFonts w:ascii="Arial" w:hAnsi="Arial" w:cs="Arial"/>
        </w:rPr>
        <w:t xml:space="preserve"> </w:t>
      </w:r>
      <w:proofErr w:type="spellStart"/>
      <w:r w:rsidR="005424A0" w:rsidRPr="00DF55D4">
        <w:rPr>
          <w:rFonts w:ascii="Arial" w:hAnsi="Arial" w:cs="Arial"/>
          <w:highlight w:val="yellow"/>
        </w:rPr>
        <w:t>Xxxx</w:t>
      </w:r>
      <w:proofErr w:type="spellEnd"/>
      <w:r w:rsidR="005424A0" w:rsidRPr="00DF55D4">
        <w:rPr>
          <w:rFonts w:ascii="Arial" w:hAnsi="Arial" w:cs="Arial"/>
        </w:rPr>
        <w:t xml:space="preserve"> de</w:t>
      </w:r>
      <w:r w:rsidRPr="00DF55D4">
        <w:rPr>
          <w:rFonts w:ascii="Arial" w:hAnsi="Arial" w:cs="Arial"/>
        </w:rPr>
        <w:t xml:space="preserve"> </w:t>
      </w:r>
      <w:r w:rsidR="005424A0" w:rsidRPr="00DF55D4">
        <w:rPr>
          <w:rFonts w:ascii="Arial" w:eastAsia="Times New Roman" w:hAnsi="Arial" w:cs="Arial"/>
          <w:highlight w:val="yellow"/>
          <w:lang w:val="es-CO" w:eastAsia="es-ES"/>
        </w:rPr>
        <w:t>(fecha)</w:t>
      </w:r>
      <w:r w:rsidRPr="00DF55D4">
        <w:rPr>
          <w:rFonts w:ascii="Arial" w:eastAsia="Times New Roman" w:hAnsi="Arial" w:cs="Arial"/>
          <w:lang w:val="es-CO" w:eastAsia="es-ES"/>
        </w:rPr>
        <w:t xml:space="preserve">, en donde </w:t>
      </w:r>
      <w:r w:rsidR="005424A0" w:rsidRPr="00DF55D4">
        <w:rPr>
          <w:rFonts w:ascii="Arial" w:eastAsia="Times New Roman" w:hAnsi="Arial" w:cs="Arial"/>
          <w:highlight w:val="yellow"/>
          <w:lang w:val="es-CO" w:eastAsia="es-ES"/>
        </w:rPr>
        <w:t>(DEUDOR O APODERADO)</w:t>
      </w:r>
      <w:r w:rsidR="005424A0" w:rsidRPr="00DF55D4">
        <w:rPr>
          <w:rFonts w:ascii="Arial" w:eastAsia="Times New Roman" w:hAnsi="Arial" w:cs="Arial"/>
          <w:lang w:val="es-CO" w:eastAsia="es-ES"/>
        </w:rPr>
        <w:t xml:space="preserve">, </w:t>
      </w:r>
      <w:r w:rsidRPr="00DF55D4">
        <w:rPr>
          <w:rFonts w:ascii="Arial" w:eastAsia="Times New Roman" w:hAnsi="Arial" w:cs="Arial"/>
          <w:lang w:val="es-CO" w:eastAsia="es-ES"/>
        </w:rPr>
        <w:t xml:space="preserve">argumenta </w:t>
      </w:r>
      <w:r w:rsidRPr="00DF55D4">
        <w:rPr>
          <w:rFonts w:ascii="Arial" w:eastAsia="Times New Roman" w:hAnsi="Arial" w:cs="Arial"/>
          <w:color w:val="0B769F" w:themeColor="accent4" w:themeShade="BF"/>
          <w:lang w:val="es-CO" w:eastAsia="es-ES"/>
        </w:rPr>
        <w:t xml:space="preserve">la falta de jurisdicción o competencia, no es procedente toda vez que la causal de excepción no se encuentra enumerada en el citado artículo, por </w:t>
      </w:r>
      <w:r w:rsidR="005424A0" w:rsidRPr="00DF55D4">
        <w:rPr>
          <w:rFonts w:ascii="Arial" w:eastAsia="Times New Roman" w:hAnsi="Arial" w:cs="Arial"/>
          <w:color w:val="0B769F" w:themeColor="accent4" w:themeShade="BF"/>
          <w:lang w:val="es-CO" w:eastAsia="es-ES"/>
        </w:rPr>
        <w:t>tanto,</w:t>
      </w:r>
      <w:r w:rsidRPr="00DF55D4">
        <w:rPr>
          <w:rFonts w:ascii="Arial" w:eastAsia="Times New Roman" w:hAnsi="Arial" w:cs="Arial"/>
          <w:color w:val="0B769F" w:themeColor="accent4" w:themeShade="BF"/>
          <w:lang w:val="es-CO" w:eastAsia="es-ES"/>
        </w:rPr>
        <w:t xml:space="preserve"> se rechazará la excepción propuesta. </w:t>
      </w:r>
    </w:p>
    <w:p w14:paraId="6DCBF840" w14:textId="77777777" w:rsidR="00AE530B" w:rsidRPr="00DF55D4" w:rsidRDefault="00AE530B" w:rsidP="00DF55D4">
      <w:pPr>
        <w:spacing w:after="0"/>
        <w:contextualSpacing/>
        <w:jc w:val="both"/>
        <w:rPr>
          <w:rFonts w:ascii="Arial" w:eastAsia="Times New Roman" w:hAnsi="Arial" w:cs="Arial"/>
          <w:lang w:val="es-CO" w:eastAsia="es-ES"/>
        </w:rPr>
      </w:pPr>
    </w:p>
    <w:p w14:paraId="44FF8EEF" w14:textId="7E2BF908"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lang w:val="es-CO" w:eastAsia="es-ES"/>
        </w:rPr>
        <w:t xml:space="preserve">En cuanto al escrito de excepciones con </w:t>
      </w:r>
      <w:r w:rsidRPr="00DF55D4">
        <w:rPr>
          <w:rFonts w:ascii="Arial" w:hAnsi="Arial" w:cs="Arial"/>
        </w:rPr>
        <w:t xml:space="preserve">radicado </w:t>
      </w:r>
      <w:r w:rsidRPr="00DF55D4">
        <w:rPr>
          <w:rFonts w:ascii="Arial" w:eastAsia="Times New Roman" w:hAnsi="Arial" w:cs="Arial"/>
          <w:lang w:val="es-CO" w:eastAsia="es-ES"/>
        </w:rPr>
        <w:t xml:space="preserve">No. </w:t>
      </w:r>
      <w:proofErr w:type="spellStart"/>
      <w:r w:rsidR="005424A0" w:rsidRPr="00DF55D4">
        <w:rPr>
          <w:rFonts w:ascii="Arial" w:eastAsia="Times New Roman" w:hAnsi="Arial" w:cs="Arial"/>
          <w:highlight w:val="yellow"/>
          <w:lang w:val="es-CO" w:eastAsia="es-ES"/>
        </w:rPr>
        <w:t>xxxx</w:t>
      </w:r>
      <w:proofErr w:type="spellEnd"/>
      <w:r w:rsidRPr="00DF55D4">
        <w:rPr>
          <w:rFonts w:ascii="Arial" w:eastAsia="Times New Roman" w:hAnsi="Arial" w:cs="Arial"/>
          <w:lang w:val="es-CO" w:eastAsia="es-ES"/>
        </w:rPr>
        <w:t xml:space="preserve"> de </w:t>
      </w:r>
      <w:r w:rsidR="005424A0" w:rsidRPr="00DF55D4">
        <w:rPr>
          <w:rFonts w:ascii="Arial" w:eastAsia="Times New Roman" w:hAnsi="Arial" w:cs="Arial"/>
          <w:highlight w:val="yellow"/>
          <w:lang w:val="es-CO" w:eastAsia="es-ES"/>
        </w:rPr>
        <w:t>(</w:t>
      </w:r>
      <w:r w:rsidRPr="00DF55D4">
        <w:rPr>
          <w:rFonts w:ascii="Arial" w:eastAsia="Times New Roman" w:hAnsi="Arial" w:cs="Arial"/>
          <w:highlight w:val="yellow"/>
          <w:lang w:val="es-CO" w:eastAsia="es-ES"/>
        </w:rPr>
        <w:t>fecha</w:t>
      </w:r>
      <w:r w:rsidR="005424A0" w:rsidRPr="00DF55D4">
        <w:rPr>
          <w:rFonts w:ascii="Arial" w:eastAsia="Times New Roman" w:hAnsi="Arial" w:cs="Arial"/>
          <w:highlight w:val="yellow"/>
          <w:lang w:val="es-CO" w:eastAsia="es-ES"/>
        </w:rPr>
        <w:t>)</w:t>
      </w:r>
      <w:r w:rsidRPr="00DF55D4">
        <w:rPr>
          <w:rFonts w:ascii="Arial" w:eastAsia="Times New Roman" w:hAnsi="Arial" w:cs="Arial"/>
          <w:lang w:val="es-CO" w:eastAsia="es-ES"/>
        </w:rPr>
        <w:t xml:space="preserve">, se evidencia </w:t>
      </w:r>
      <w:r w:rsidRPr="00DF55D4">
        <w:rPr>
          <w:rFonts w:ascii="Arial" w:eastAsia="Times New Roman" w:hAnsi="Arial" w:cs="Arial"/>
          <w:color w:val="0B769F" w:themeColor="accent4" w:themeShade="BF"/>
          <w:lang w:val="es-CO" w:eastAsia="es-ES"/>
        </w:rPr>
        <w:t>que se interpuso por la excepción del numeral 7°, correspondiente a “La falta de título ejecutivo”, razón por la cual, se procederá a realizar su análisis.</w:t>
      </w:r>
    </w:p>
    <w:p w14:paraId="1B1B3F04" w14:textId="77777777" w:rsidR="00AE530B" w:rsidRPr="00DF55D4" w:rsidRDefault="00AE530B" w:rsidP="00DF55D4">
      <w:pPr>
        <w:spacing w:after="0"/>
        <w:contextualSpacing/>
        <w:jc w:val="both"/>
        <w:rPr>
          <w:rFonts w:ascii="Arial" w:eastAsia="Times New Roman" w:hAnsi="Arial" w:cs="Arial"/>
          <w:lang w:val="es-CO" w:eastAsia="es-ES"/>
        </w:rPr>
      </w:pPr>
    </w:p>
    <w:p w14:paraId="7F4D4E45" w14:textId="1B13804D"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Realizadas las citadas precisiones, se procede a estudiar las excepciones interpuesta por </w:t>
      </w:r>
      <w:r w:rsidR="005424A0" w:rsidRPr="00DF55D4">
        <w:rPr>
          <w:rFonts w:ascii="Arial" w:eastAsia="Times New Roman" w:hAnsi="Arial" w:cs="Arial"/>
          <w:highlight w:val="yellow"/>
          <w:lang w:val="es-CO" w:eastAsia="es-ES"/>
        </w:rPr>
        <w:t>(DEUDOR O APODERADO)</w:t>
      </w:r>
      <w:r w:rsidRPr="00DF55D4">
        <w:rPr>
          <w:rFonts w:ascii="Arial" w:eastAsia="Times New Roman" w:hAnsi="Arial" w:cs="Arial"/>
          <w:lang w:val="es-CO" w:eastAsia="es-ES"/>
        </w:rPr>
        <w:t>, dentro del término establecido por el artículo 832 del Estatuto Tributario.</w:t>
      </w:r>
    </w:p>
    <w:p w14:paraId="53C0BAC1" w14:textId="77777777" w:rsidR="00AE530B" w:rsidRPr="00DF55D4" w:rsidRDefault="00AE530B" w:rsidP="00DF55D4">
      <w:pPr>
        <w:spacing w:after="0"/>
        <w:contextualSpacing/>
        <w:jc w:val="both"/>
        <w:rPr>
          <w:rFonts w:ascii="Arial" w:eastAsia="Times New Roman" w:hAnsi="Arial" w:cs="Arial"/>
          <w:lang w:val="es-CO" w:eastAsia="es-ES"/>
        </w:rPr>
      </w:pPr>
    </w:p>
    <w:p w14:paraId="23C96A89" w14:textId="77777777" w:rsidR="00AE530B" w:rsidRPr="00DF55D4" w:rsidRDefault="00AE530B" w:rsidP="00DF55D4">
      <w:pPr>
        <w:pStyle w:val="Prrafodelista"/>
        <w:numPr>
          <w:ilvl w:val="0"/>
          <w:numId w:val="1"/>
        </w:numPr>
        <w:tabs>
          <w:tab w:val="left" w:pos="284"/>
        </w:tabs>
        <w:spacing w:after="0"/>
        <w:ind w:left="0" w:firstLine="0"/>
        <w:jc w:val="both"/>
        <w:rPr>
          <w:rFonts w:ascii="Arial" w:eastAsia="Times New Roman" w:hAnsi="Arial" w:cs="Arial"/>
          <w:highlight w:val="yellow"/>
          <w:lang w:val="es-CO" w:eastAsia="es-ES"/>
        </w:rPr>
      </w:pPr>
      <w:r w:rsidRPr="00DF55D4">
        <w:rPr>
          <w:rFonts w:ascii="Arial" w:eastAsia="Times New Roman" w:hAnsi="Arial" w:cs="Arial"/>
          <w:b/>
          <w:bCs/>
          <w:lang w:val="es-CO" w:eastAsia="es-ES"/>
        </w:rPr>
        <w:t xml:space="preserve">ANÁLISIS DE LA IMPROCEDENCIA DE LA EXCEPCION INTERPUESTA - </w:t>
      </w:r>
      <w:bookmarkStart w:id="0" w:name="_Hlk35420960"/>
      <w:r w:rsidRPr="00DF55D4">
        <w:rPr>
          <w:rFonts w:ascii="Arial" w:eastAsia="Times New Roman" w:hAnsi="Arial" w:cs="Arial"/>
          <w:b/>
          <w:bCs/>
          <w:highlight w:val="yellow"/>
          <w:lang w:val="es-CO" w:eastAsia="es-ES"/>
        </w:rPr>
        <w:t>FALTA DE JURISDICCIÓN O COMPETENCIA</w:t>
      </w:r>
      <w:bookmarkEnd w:id="0"/>
    </w:p>
    <w:p w14:paraId="0108DD3E" w14:textId="77777777" w:rsidR="00AE530B" w:rsidRPr="00DF55D4" w:rsidRDefault="00AE530B" w:rsidP="00DF55D4">
      <w:pPr>
        <w:pStyle w:val="Prrafodelista"/>
        <w:tabs>
          <w:tab w:val="left" w:pos="284"/>
        </w:tabs>
        <w:spacing w:after="0"/>
        <w:ind w:left="0"/>
        <w:jc w:val="both"/>
        <w:rPr>
          <w:rFonts w:ascii="Arial" w:eastAsia="Times New Roman" w:hAnsi="Arial" w:cs="Arial"/>
          <w:lang w:val="es-CO" w:eastAsia="es-ES"/>
        </w:rPr>
      </w:pPr>
    </w:p>
    <w:p w14:paraId="4C1C5456" w14:textId="4BEC01AA" w:rsidR="00AE530B" w:rsidRPr="00DF55D4" w:rsidRDefault="00AE530B" w:rsidP="00DF55D4">
      <w:pPr>
        <w:pStyle w:val="Prrafodelista"/>
        <w:tabs>
          <w:tab w:val="left" w:pos="284"/>
        </w:tabs>
        <w:spacing w:after="0"/>
        <w:ind w:left="0"/>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En cuanto a la excepción de “falta de jurisdicción o competencia”, presentada por el apoderado del deudor, quien aduce que “el presente asunto no debió ventilarse por el cobro coactivo puesto que su conocimiento corresponde a la Jurisdicción Contenciosa Administrativa, por tratarse de un proceso ejecutivo originado en el Convenio Interadministrativo </w:t>
      </w:r>
      <w:proofErr w:type="spellStart"/>
      <w:r w:rsidR="005424A0" w:rsidRPr="00DF55D4">
        <w:rPr>
          <w:rFonts w:ascii="Arial" w:eastAsia="Times New Roman" w:hAnsi="Arial" w:cs="Arial"/>
          <w:color w:val="0B769F" w:themeColor="accent4" w:themeShade="BF"/>
          <w:highlight w:val="yellow"/>
          <w:lang w:val="es-CO" w:eastAsia="es-ES"/>
        </w:rPr>
        <w:t>xxxx</w:t>
      </w:r>
      <w:proofErr w:type="spellEnd"/>
      <w:r w:rsidRPr="00DF55D4">
        <w:rPr>
          <w:rFonts w:ascii="Arial" w:eastAsia="Times New Roman" w:hAnsi="Arial" w:cs="Arial"/>
          <w:color w:val="0B769F" w:themeColor="accent4" w:themeShade="BF"/>
          <w:lang w:val="es-CO" w:eastAsia="es-ES"/>
        </w:rPr>
        <w:t xml:space="preserve">”, quien sustenta su postura conforme a lo dispuesto en el artículo 104 del CPACA, al respecto este Despacho procede a efectuar las siguientes precisiones: </w:t>
      </w:r>
    </w:p>
    <w:p w14:paraId="75DC45A6" w14:textId="77777777" w:rsidR="00AE530B" w:rsidRPr="00DF55D4" w:rsidRDefault="00AE530B" w:rsidP="00DF55D4">
      <w:pPr>
        <w:pStyle w:val="Prrafodelista"/>
        <w:tabs>
          <w:tab w:val="left" w:pos="284"/>
        </w:tabs>
        <w:spacing w:after="0"/>
        <w:ind w:left="0"/>
        <w:jc w:val="both"/>
        <w:rPr>
          <w:rFonts w:ascii="Arial" w:eastAsia="Times New Roman" w:hAnsi="Arial" w:cs="Arial"/>
          <w:color w:val="0B769F" w:themeColor="accent4" w:themeShade="BF"/>
          <w:lang w:val="es-CO" w:eastAsia="es-ES"/>
        </w:rPr>
      </w:pPr>
    </w:p>
    <w:p w14:paraId="1E68F7E1" w14:textId="77777777" w:rsidR="00AE530B" w:rsidRPr="00DF55D4" w:rsidRDefault="00AE530B" w:rsidP="00DF55D4">
      <w:pPr>
        <w:pStyle w:val="Prrafodelista"/>
        <w:tabs>
          <w:tab w:val="left" w:pos="284"/>
        </w:tabs>
        <w:spacing w:after="0"/>
        <w:ind w:left="0"/>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Para comenzar, se destaca que el ICBF ejerce la facultad </w:t>
      </w:r>
      <w:r w:rsidRPr="00DF55D4">
        <w:rPr>
          <w:rFonts w:ascii="Arial" w:hAnsi="Arial" w:cs="Arial"/>
          <w:color w:val="0B769F" w:themeColor="accent4" w:themeShade="BF"/>
          <w:lang w:val="es-CO"/>
        </w:rPr>
        <w:t xml:space="preserve">excepcional de cobro coactivo de acuerdo con </w:t>
      </w:r>
      <w:r w:rsidRPr="00DF55D4">
        <w:rPr>
          <w:rFonts w:ascii="Arial" w:eastAsia="Times New Roman" w:hAnsi="Arial" w:cs="Arial"/>
          <w:color w:val="0B769F" w:themeColor="accent4" w:themeShade="BF"/>
          <w:lang w:val="es-CO" w:eastAsia="es-ES"/>
        </w:rPr>
        <w:t xml:space="preserve">lo establecido en el artículo 98 del CPACA, que dispone: </w:t>
      </w:r>
    </w:p>
    <w:p w14:paraId="3BFA2EE8" w14:textId="77777777" w:rsidR="00AE530B" w:rsidRPr="00DF55D4" w:rsidRDefault="00AE530B" w:rsidP="00DF55D4">
      <w:pPr>
        <w:pStyle w:val="Prrafodelista"/>
        <w:tabs>
          <w:tab w:val="left" w:pos="284"/>
        </w:tabs>
        <w:spacing w:after="0"/>
        <w:ind w:left="0"/>
        <w:jc w:val="both"/>
        <w:rPr>
          <w:rFonts w:ascii="Arial" w:eastAsia="Times New Roman" w:hAnsi="Arial" w:cs="Arial"/>
          <w:color w:val="0B769F" w:themeColor="accent4" w:themeShade="BF"/>
          <w:lang w:val="es-CO" w:eastAsia="es-ES"/>
        </w:rPr>
      </w:pPr>
    </w:p>
    <w:p w14:paraId="07E64EA7" w14:textId="77777777" w:rsidR="00AE530B" w:rsidRPr="00DF55D4" w:rsidRDefault="00AE530B" w:rsidP="00DF55D4">
      <w:pPr>
        <w:pStyle w:val="Prrafodelista"/>
        <w:tabs>
          <w:tab w:val="left" w:pos="284"/>
        </w:tabs>
        <w:spacing w:after="0"/>
        <w:ind w:left="0"/>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“DEBER DE RECAUDO Y PRERROGATIVA DEL COBRO COACTIVO. Las entidades públicas definidas en el parágrafo del artículo 104 deberán recaudar las obligaciones creadas en su favor, que consten en documentos que presten mérito ejecutivo de conformidad con este Código. Para tal efecto, están revestidas de la prerrogativa de cobro coactivo o podrán acudir ante los jueces competentes”</w:t>
      </w:r>
    </w:p>
    <w:p w14:paraId="29642460" w14:textId="77777777" w:rsidR="00AE530B" w:rsidRPr="00DF55D4" w:rsidRDefault="00AE530B" w:rsidP="00DF55D4">
      <w:pPr>
        <w:pStyle w:val="Prrafodelista"/>
        <w:tabs>
          <w:tab w:val="left" w:pos="284"/>
        </w:tabs>
        <w:spacing w:after="0"/>
        <w:ind w:left="0"/>
        <w:jc w:val="both"/>
        <w:rPr>
          <w:rFonts w:ascii="Arial" w:eastAsia="Times New Roman" w:hAnsi="Arial" w:cs="Arial"/>
          <w:color w:val="0B769F" w:themeColor="accent4" w:themeShade="BF"/>
          <w:lang w:val="es-CO" w:eastAsia="es-ES"/>
        </w:rPr>
      </w:pPr>
    </w:p>
    <w:p w14:paraId="01D44A33" w14:textId="3501B28D" w:rsidR="00AE530B" w:rsidRPr="00DF55D4" w:rsidRDefault="00AE530B" w:rsidP="00DF55D4">
      <w:pPr>
        <w:pStyle w:val="Prrafodelista"/>
        <w:tabs>
          <w:tab w:val="left" w:pos="284"/>
        </w:tabs>
        <w:spacing w:after="0"/>
        <w:ind w:left="0"/>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Bajo esa condición, el ICBF tiene el deber de proceder con el cobro coactivo de todas las obligaciones exigibles a su favor, como lo es la contenida en el Acta de Liquidación del Convenio Interadministrativo No. </w:t>
      </w:r>
      <w:proofErr w:type="spellStart"/>
      <w:r w:rsidR="005424A0" w:rsidRPr="00DF55D4">
        <w:rPr>
          <w:rFonts w:ascii="Arial" w:eastAsia="Times New Roman" w:hAnsi="Arial" w:cs="Arial"/>
          <w:color w:val="0B769F" w:themeColor="accent4" w:themeShade="BF"/>
          <w:highlight w:val="yellow"/>
          <w:lang w:val="es-CO" w:eastAsia="es-ES"/>
        </w:rPr>
        <w:t>xxxx</w:t>
      </w:r>
      <w:proofErr w:type="spellEnd"/>
      <w:r w:rsidR="005424A0" w:rsidRPr="00DF55D4">
        <w:rPr>
          <w:rFonts w:ascii="Arial" w:eastAsia="Times New Roman" w:hAnsi="Arial" w:cs="Arial"/>
          <w:color w:val="0B769F" w:themeColor="accent4" w:themeShade="BF"/>
          <w:lang w:val="es-CO" w:eastAsia="es-ES"/>
        </w:rPr>
        <w:t>”</w:t>
      </w:r>
      <w:r w:rsidRPr="00DF55D4">
        <w:rPr>
          <w:rFonts w:ascii="Arial" w:eastAsia="Times New Roman" w:hAnsi="Arial" w:cs="Arial"/>
          <w:color w:val="0B769F" w:themeColor="accent4" w:themeShade="BF"/>
          <w:lang w:val="es-CO" w:eastAsia="es-ES"/>
        </w:rPr>
        <w:t xml:space="preserve">, ya que esta presta merito ejecutivo bajo los términos de lo dispuesto en el artículo 99 del CPACA; adicional a ello, la Entidad tiene la prerrogativa de cobro conforme a lo establecido en el artículo 5 de la Ley 1066 de 2006, que dispone: </w:t>
      </w:r>
    </w:p>
    <w:p w14:paraId="482F3967" w14:textId="77777777" w:rsidR="00AE530B" w:rsidRPr="00DF55D4" w:rsidRDefault="00AE530B" w:rsidP="00DF55D4">
      <w:pPr>
        <w:pStyle w:val="Prrafodelista"/>
        <w:tabs>
          <w:tab w:val="left" w:pos="284"/>
        </w:tabs>
        <w:spacing w:after="0"/>
        <w:ind w:left="0"/>
        <w:jc w:val="both"/>
        <w:rPr>
          <w:rFonts w:ascii="Arial" w:eastAsia="Times New Roman" w:hAnsi="Arial" w:cs="Arial"/>
          <w:color w:val="0B769F" w:themeColor="accent4" w:themeShade="BF"/>
          <w:lang w:val="es-CO" w:eastAsia="es-ES"/>
        </w:rPr>
      </w:pPr>
    </w:p>
    <w:p w14:paraId="56BA0B12" w14:textId="77777777" w:rsidR="00AE530B" w:rsidRPr="00DF55D4" w:rsidRDefault="00AE530B" w:rsidP="00DF55D4">
      <w:pPr>
        <w:tabs>
          <w:tab w:val="left" w:pos="284"/>
        </w:tabs>
        <w:spacing w:after="0"/>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“FACULTAD DE COBRO COACTIVO Y PROCEDIMIENTO PARA LAS ENTIDADES PÚBLICAS. Las entidades públicas que de manera permanente tengan a su cargo el ejercicio de las actividades y funciones administrativas o la prestación de servicios del Estado colombiano y que en virtud de estas tengan que recaudar rentas o caudales públicos, del nivel nacional, territorial, incluidos los órganos autónomos y entidades con régimen especial otorgado por la Constitución Política, </w:t>
      </w:r>
      <w:r w:rsidRPr="00DF55D4">
        <w:rPr>
          <w:rFonts w:ascii="Arial" w:eastAsia="Times New Roman" w:hAnsi="Arial" w:cs="Arial"/>
          <w:color w:val="0B769F" w:themeColor="accent4" w:themeShade="BF"/>
          <w:u w:val="single"/>
          <w:lang w:val="es-CO" w:eastAsia="es-ES"/>
        </w:rPr>
        <w:t>tienen jurisdicción coactiva para hacer efectivas las obligaciones exigibles a su favor y, para estos efectos, deberán seguir el procedimiento descrito en el Estatuto Tributario.</w:t>
      </w:r>
    </w:p>
    <w:p w14:paraId="3A479C8A" w14:textId="77777777" w:rsidR="00AE530B" w:rsidRPr="00DF55D4" w:rsidRDefault="00AE530B" w:rsidP="00DF55D4">
      <w:pPr>
        <w:tabs>
          <w:tab w:val="left" w:pos="284"/>
        </w:tabs>
        <w:spacing w:after="0"/>
        <w:jc w:val="both"/>
        <w:rPr>
          <w:rFonts w:ascii="Arial" w:eastAsia="Times New Roman" w:hAnsi="Arial" w:cs="Arial"/>
          <w:color w:val="0B769F" w:themeColor="accent4" w:themeShade="BF"/>
          <w:lang w:val="es-CO" w:eastAsia="es-ES"/>
        </w:rPr>
      </w:pPr>
    </w:p>
    <w:p w14:paraId="684D1C4B" w14:textId="77777777" w:rsidR="00AE530B" w:rsidRPr="00DF55D4" w:rsidRDefault="00AE530B" w:rsidP="00DF55D4">
      <w:pPr>
        <w:tabs>
          <w:tab w:val="left" w:pos="284"/>
        </w:tabs>
        <w:spacing w:after="0"/>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lastRenderedPageBreak/>
        <w:tab/>
        <w:t xml:space="preserve">(…) </w:t>
      </w:r>
    </w:p>
    <w:p w14:paraId="714351FE" w14:textId="77777777" w:rsidR="00AE530B" w:rsidRPr="00DF55D4" w:rsidRDefault="00AE530B" w:rsidP="00DF55D4">
      <w:pPr>
        <w:tabs>
          <w:tab w:val="left" w:pos="284"/>
        </w:tabs>
        <w:spacing w:after="0"/>
        <w:jc w:val="both"/>
        <w:rPr>
          <w:rFonts w:ascii="Arial" w:eastAsia="Times New Roman" w:hAnsi="Arial" w:cs="Arial"/>
          <w:color w:val="0B769F" w:themeColor="accent4" w:themeShade="BF"/>
          <w:lang w:val="es-CO" w:eastAsia="es-ES"/>
        </w:rPr>
      </w:pPr>
    </w:p>
    <w:p w14:paraId="3EAD7AEE" w14:textId="77777777" w:rsidR="00AE530B" w:rsidRPr="00DF55D4" w:rsidRDefault="00AE530B" w:rsidP="00DF55D4">
      <w:pPr>
        <w:tabs>
          <w:tab w:val="left" w:pos="284"/>
        </w:tabs>
        <w:spacing w:after="0"/>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PARÁGRAFO 1o. Se excluyen del campo de aplicación de la presente ley las deudas generadas en contratos de mutuo o aquellas derivadas de obligaciones civiles o comerciales en las que las entidades indicadas en este artículo desarrollan una actividad de cobranza similar o igual a los particulares, en desarrollo del régimen privado que se aplica al giro principal de sus negocios, cuando dicho régimen esté consagrado en la ley o en los estatutos sociales de la sociedad.” (Subrayado fuera de texto)</w:t>
      </w:r>
    </w:p>
    <w:p w14:paraId="2051C777" w14:textId="77777777" w:rsidR="00AE530B" w:rsidRPr="00DF55D4" w:rsidRDefault="00AE530B" w:rsidP="00DF55D4">
      <w:pPr>
        <w:pStyle w:val="Prrafodelista"/>
        <w:tabs>
          <w:tab w:val="left" w:pos="284"/>
        </w:tabs>
        <w:spacing w:after="0"/>
        <w:ind w:left="0"/>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 </w:t>
      </w:r>
    </w:p>
    <w:p w14:paraId="7C5DF33F" w14:textId="2FA73A21" w:rsidR="00AE530B" w:rsidRPr="00DF55D4" w:rsidRDefault="00AE530B" w:rsidP="00DF55D4">
      <w:pPr>
        <w:pStyle w:val="Prrafodelista"/>
        <w:tabs>
          <w:tab w:val="left" w:pos="284"/>
        </w:tabs>
        <w:spacing w:after="0"/>
        <w:ind w:left="0"/>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De acuerdo con lo anterior, no se requiere acudir a la Jurisdicción Contencioso Administrativa pues es claro que el ICBF tiene la facultad para hacer efectiva la obligación contenida en el Acta de liquidación, toda vez que ésta no se trata de una deuda generada por un contrato de mutuo o se deriva de una obligación civil o comercial en desarrollo de una actividad de cobranza, se trata del reintegro de una suma de dinero que no fue ejecutada en el desarrollo del convenio administrativo suscrito por el ICBF con </w:t>
      </w:r>
      <w:proofErr w:type="spellStart"/>
      <w:r w:rsidR="005424A0" w:rsidRPr="00DF55D4">
        <w:rPr>
          <w:rFonts w:ascii="Arial" w:eastAsia="Times New Roman" w:hAnsi="Arial" w:cs="Arial"/>
          <w:color w:val="0B769F" w:themeColor="accent4" w:themeShade="BF"/>
          <w:highlight w:val="yellow"/>
          <w:lang w:val="es-CO" w:eastAsia="es-ES"/>
        </w:rPr>
        <w:t>xxxx</w:t>
      </w:r>
      <w:proofErr w:type="spellEnd"/>
      <w:r w:rsidR="005424A0" w:rsidRPr="00DF55D4">
        <w:rPr>
          <w:rFonts w:ascii="Arial" w:eastAsia="Times New Roman" w:hAnsi="Arial" w:cs="Arial"/>
          <w:color w:val="0B769F" w:themeColor="accent4" w:themeShade="BF"/>
          <w:lang w:val="es-CO" w:eastAsia="es-ES"/>
        </w:rPr>
        <w:t>”</w:t>
      </w:r>
      <w:r w:rsidRPr="00DF55D4">
        <w:rPr>
          <w:rFonts w:ascii="Arial" w:eastAsia="Times New Roman" w:hAnsi="Arial" w:cs="Arial"/>
          <w:color w:val="0B769F" w:themeColor="accent4" w:themeShade="BF"/>
          <w:lang w:val="es-CO" w:eastAsia="es-ES"/>
        </w:rPr>
        <w:t xml:space="preserve">. </w:t>
      </w:r>
    </w:p>
    <w:p w14:paraId="3B49C1FB" w14:textId="77777777" w:rsidR="00AE530B" w:rsidRPr="00DF55D4" w:rsidRDefault="00AE530B" w:rsidP="00DF55D4">
      <w:pPr>
        <w:tabs>
          <w:tab w:val="left" w:pos="284"/>
        </w:tabs>
        <w:spacing w:after="0"/>
        <w:jc w:val="both"/>
        <w:rPr>
          <w:rFonts w:ascii="Arial" w:eastAsia="Times New Roman" w:hAnsi="Arial" w:cs="Arial"/>
          <w:color w:val="00B0F0"/>
          <w:lang w:val="es-CO" w:eastAsia="es-ES"/>
        </w:rPr>
      </w:pPr>
    </w:p>
    <w:p w14:paraId="17A38B09" w14:textId="77777777" w:rsidR="00AE530B" w:rsidRPr="00DF55D4" w:rsidRDefault="00AE530B" w:rsidP="00DF55D4">
      <w:pPr>
        <w:tabs>
          <w:tab w:val="left" w:pos="284"/>
        </w:tabs>
        <w:spacing w:after="0"/>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En virtud a que el artículo 831 del ET, citado en el numeral 1.2 del presente Acto Administrativo, determina taxativamente las excepciones que proceden contra el mandamiento de pago, sin incluir en su texto la pretendida “falta de jurisdicción o competencia”, se rechazará por ser improcedente.     </w:t>
      </w:r>
    </w:p>
    <w:p w14:paraId="78198B5E" w14:textId="77777777" w:rsidR="00AE530B" w:rsidRPr="00DF55D4" w:rsidRDefault="00AE530B" w:rsidP="00DF55D4">
      <w:pPr>
        <w:pStyle w:val="Prrafodelista"/>
        <w:tabs>
          <w:tab w:val="left" w:pos="284"/>
        </w:tabs>
        <w:spacing w:after="0"/>
        <w:ind w:left="0"/>
        <w:jc w:val="both"/>
        <w:rPr>
          <w:rFonts w:ascii="Arial" w:eastAsia="Times New Roman" w:hAnsi="Arial" w:cs="Arial"/>
          <w:lang w:val="es-CO" w:eastAsia="es-ES"/>
        </w:rPr>
      </w:pPr>
    </w:p>
    <w:p w14:paraId="070490B6" w14:textId="77777777" w:rsidR="00AE530B" w:rsidRPr="00DF55D4" w:rsidRDefault="00AE530B" w:rsidP="00DF55D4">
      <w:pPr>
        <w:pStyle w:val="Prrafodelista"/>
        <w:numPr>
          <w:ilvl w:val="0"/>
          <w:numId w:val="1"/>
        </w:numPr>
        <w:tabs>
          <w:tab w:val="left" w:pos="284"/>
        </w:tabs>
        <w:spacing w:after="0"/>
        <w:ind w:left="0" w:firstLine="0"/>
        <w:jc w:val="both"/>
        <w:rPr>
          <w:rFonts w:ascii="Arial" w:eastAsia="Times New Roman" w:hAnsi="Arial" w:cs="Arial"/>
          <w:highlight w:val="yellow"/>
          <w:lang w:val="es-CO" w:eastAsia="es-ES"/>
        </w:rPr>
      </w:pPr>
      <w:r w:rsidRPr="00DF55D4">
        <w:rPr>
          <w:rFonts w:ascii="Arial" w:eastAsia="Times New Roman" w:hAnsi="Arial" w:cs="Arial"/>
          <w:b/>
          <w:bCs/>
          <w:lang w:val="es-CO" w:eastAsia="es-ES"/>
        </w:rPr>
        <w:t xml:space="preserve">ANÁLISIS DE FONDO DE LA EXCEPCION INTERPUESTA - </w:t>
      </w:r>
      <w:r w:rsidRPr="00DF55D4">
        <w:rPr>
          <w:rFonts w:ascii="Arial" w:eastAsia="Times New Roman" w:hAnsi="Arial" w:cs="Arial"/>
          <w:b/>
          <w:bCs/>
          <w:highlight w:val="yellow"/>
          <w:lang w:val="es-CO" w:eastAsia="es-ES"/>
        </w:rPr>
        <w:t>FALTA DE TÍTULO EJECUTIVO</w:t>
      </w:r>
      <w:r w:rsidRPr="00DF55D4">
        <w:rPr>
          <w:rFonts w:ascii="Arial" w:eastAsia="Times New Roman" w:hAnsi="Arial" w:cs="Arial"/>
          <w:color w:val="0070C0"/>
          <w:highlight w:val="yellow"/>
          <w:lang w:val="es-CO" w:eastAsia="es-ES"/>
        </w:rPr>
        <w:t xml:space="preserve"> </w:t>
      </w:r>
    </w:p>
    <w:p w14:paraId="55303776" w14:textId="77777777" w:rsidR="00AE530B" w:rsidRPr="00DF55D4" w:rsidRDefault="00AE530B" w:rsidP="00DF55D4">
      <w:pPr>
        <w:pStyle w:val="Prrafodelista"/>
        <w:tabs>
          <w:tab w:val="left" w:pos="284"/>
        </w:tabs>
        <w:spacing w:after="0"/>
        <w:ind w:left="0"/>
        <w:jc w:val="both"/>
        <w:rPr>
          <w:rFonts w:ascii="Arial" w:eastAsia="Times New Roman" w:hAnsi="Arial" w:cs="Arial"/>
          <w:lang w:val="es-CO" w:eastAsia="es-ES"/>
        </w:rPr>
      </w:pPr>
    </w:p>
    <w:p w14:paraId="35CC7D30"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lang w:val="es-CO" w:eastAsia="es-ES"/>
        </w:rPr>
        <w:t xml:space="preserve">Este Despacho procede a realizar el análisis de cada uno de los argumentos esbozados por el apoderado del deudor, respecto de la excepción de falta de título ejecutivo. </w:t>
      </w:r>
    </w:p>
    <w:p w14:paraId="00EB73AE" w14:textId="77777777" w:rsidR="00AE530B" w:rsidRPr="00DF55D4" w:rsidRDefault="00AE530B" w:rsidP="00DF55D4">
      <w:pPr>
        <w:spacing w:after="0"/>
        <w:contextualSpacing/>
        <w:jc w:val="both"/>
        <w:rPr>
          <w:rFonts w:ascii="Arial" w:eastAsia="Times New Roman" w:hAnsi="Arial" w:cs="Arial"/>
          <w:color w:val="0070C0"/>
          <w:lang w:val="es-CO" w:eastAsia="es-ES"/>
        </w:rPr>
      </w:pPr>
    </w:p>
    <w:p w14:paraId="63C19A7F" w14:textId="77777777" w:rsidR="00AE530B" w:rsidRPr="00DF55D4" w:rsidRDefault="00AE530B" w:rsidP="00DF55D4">
      <w:pPr>
        <w:tabs>
          <w:tab w:val="left" w:pos="567"/>
        </w:tabs>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b/>
          <w:bCs/>
          <w:lang w:val="es-CO" w:eastAsia="es-ES"/>
        </w:rPr>
        <w:t>3.1</w:t>
      </w:r>
      <w:r w:rsidRPr="00DF55D4">
        <w:rPr>
          <w:rFonts w:ascii="Arial" w:eastAsia="Times New Roman" w:hAnsi="Arial" w:cs="Arial"/>
          <w:lang w:val="es-CO" w:eastAsia="es-ES"/>
        </w:rPr>
        <w:t xml:space="preserve">.  </w:t>
      </w:r>
      <w:r w:rsidRPr="00DF55D4">
        <w:rPr>
          <w:rFonts w:ascii="Arial" w:eastAsia="Times New Roman" w:hAnsi="Arial" w:cs="Arial"/>
          <w:b/>
          <w:bCs/>
          <w:color w:val="0B769F" w:themeColor="accent4" w:themeShade="BF"/>
          <w:lang w:val="es-CO" w:eastAsia="es-ES"/>
        </w:rPr>
        <w:t>Frente al argumento de: “Ausencia de requisitos previos para el perfeccionamiento del acto administrativo aducido como título de ejecución”</w:t>
      </w:r>
    </w:p>
    <w:p w14:paraId="1550F480"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5DC082D4" w14:textId="5F068E49"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Indica el apoderado del deudor “Al analizar el Acta de Liquidación que sirve de título de ejecución se observa que según la cláusula “D” el </w:t>
      </w:r>
      <w:proofErr w:type="spellStart"/>
      <w:r w:rsidR="00F20719" w:rsidRPr="00DF55D4">
        <w:rPr>
          <w:rFonts w:ascii="Arial" w:eastAsia="Times New Roman" w:hAnsi="Arial" w:cs="Arial"/>
          <w:color w:val="0B769F" w:themeColor="accent4" w:themeShade="BF"/>
          <w:highlight w:val="yellow"/>
          <w:lang w:val="es-CO" w:eastAsia="es-ES"/>
        </w:rPr>
        <w:t>xxxx</w:t>
      </w:r>
      <w:proofErr w:type="spellEnd"/>
      <w:r w:rsidRPr="00DF55D4">
        <w:rPr>
          <w:rFonts w:ascii="Arial" w:eastAsia="Times New Roman" w:hAnsi="Arial" w:cs="Arial"/>
          <w:color w:val="0B769F" w:themeColor="accent4" w:themeShade="BF"/>
          <w:lang w:val="es-CO" w:eastAsia="es-ES"/>
        </w:rPr>
        <w:t xml:space="preserve"> debía reintegrar una suma de dinero a la entidad Ejecutante, pero dicha obligación asumida por </w:t>
      </w:r>
      <w:proofErr w:type="spellStart"/>
      <w:r w:rsidR="00F20719" w:rsidRPr="00DF55D4">
        <w:rPr>
          <w:rFonts w:ascii="Arial" w:eastAsia="Times New Roman" w:hAnsi="Arial" w:cs="Arial"/>
          <w:color w:val="0B769F" w:themeColor="accent4" w:themeShade="BF"/>
          <w:highlight w:val="yellow"/>
          <w:lang w:val="es-CO" w:eastAsia="es-ES"/>
        </w:rPr>
        <w:t>xxxx</w:t>
      </w:r>
      <w:proofErr w:type="spellEnd"/>
      <w:r w:rsidRPr="00DF55D4">
        <w:rPr>
          <w:rFonts w:ascii="Arial" w:eastAsia="Times New Roman" w:hAnsi="Arial" w:cs="Arial"/>
          <w:color w:val="0B769F" w:themeColor="accent4" w:themeShade="BF"/>
          <w:lang w:val="es-CO" w:eastAsia="es-ES"/>
        </w:rPr>
        <w:t xml:space="preserve"> </w:t>
      </w:r>
      <w:r w:rsidRPr="00DF55D4">
        <w:rPr>
          <w:rFonts w:ascii="Arial" w:eastAsia="Times New Roman" w:hAnsi="Arial" w:cs="Arial"/>
          <w:b/>
          <w:bCs/>
          <w:color w:val="0B769F" w:themeColor="accent4" w:themeShade="BF"/>
          <w:lang w:val="es-CO" w:eastAsia="es-ES"/>
        </w:rPr>
        <w:t xml:space="preserve">no tenía el Certificado de Disponibilidad Presupuestal ni el Registro Presupuestal que le sirvieran de soporte para su pago; </w:t>
      </w:r>
      <w:r w:rsidRPr="00DF55D4">
        <w:rPr>
          <w:rFonts w:ascii="Arial" w:eastAsia="Times New Roman" w:hAnsi="Arial" w:cs="Arial"/>
          <w:color w:val="0B769F" w:themeColor="accent4" w:themeShade="BF"/>
          <w:lang w:val="es-CO" w:eastAsia="es-ES"/>
        </w:rPr>
        <w:t>por lo que no puede considerarse como un compromiso legalmente contraído”</w:t>
      </w:r>
    </w:p>
    <w:p w14:paraId="3D67DEED"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54DFF0C1" w14:textId="77777777" w:rsidR="00AE530B" w:rsidRPr="00DF55D4" w:rsidRDefault="00AE530B" w:rsidP="00DF55D4">
      <w:pPr>
        <w:spacing w:after="0"/>
        <w:contextualSpacing/>
        <w:jc w:val="both"/>
        <w:rPr>
          <w:rFonts w:ascii="Arial" w:hAnsi="Arial" w:cs="Arial"/>
          <w:color w:val="0B769F" w:themeColor="accent4" w:themeShade="BF"/>
          <w:lang w:eastAsia="es-ES"/>
        </w:rPr>
      </w:pPr>
      <w:r w:rsidRPr="00DF55D4">
        <w:rPr>
          <w:rFonts w:ascii="Arial" w:eastAsia="Times New Roman" w:hAnsi="Arial" w:cs="Arial"/>
          <w:color w:val="0B769F" w:themeColor="accent4" w:themeShade="BF"/>
          <w:lang w:val="es-CO" w:eastAsia="es-ES"/>
        </w:rPr>
        <w:t xml:space="preserve">Este Despacho considera importante iniciar señalando que </w:t>
      </w:r>
      <w:r w:rsidRPr="00DF55D4">
        <w:rPr>
          <w:rFonts w:ascii="Arial" w:hAnsi="Arial" w:cs="Arial"/>
          <w:color w:val="0B769F" w:themeColor="accent4" w:themeShade="BF"/>
        </w:rPr>
        <w:t>el marco normativo general de la liquidación de los contratos estatales está previsto en el artículo 60 de la Ley 80 de 1993, modificado por el artículo 217 del Decreto 019 de 2012, que</w:t>
      </w:r>
      <w:r w:rsidRPr="00DF55D4">
        <w:rPr>
          <w:rFonts w:ascii="Arial" w:hAnsi="Arial" w:cs="Arial"/>
          <w:color w:val="0B769F" w:themeColor="accent4" w:themeShade="BF"/>
          <w:lang w:eastAsia="es-ES"/>
        </w:rPr>
        <w:t xml:space="preserve"> establece: </w:t>
      </w:r>
    </w:p>
    <w:p w14:paraId="2E2400F8" w14:textId="77777777" w:rsidR="00AE530B" w:rsidRPr="00DF55D4" w:rsidRDefault="00AE530B" w:rsidP="00DF55D4">
      <w:pPr>
        <w:spacing w:after="0"/>
        <w:contextualSpacing/>
        <w:jc w:val="both"/>
        <w:rPr>
          <w:rFonts w:ascii="Arial" w:hAnsi="Arial" w:cs="Arial"/>
          <w:color w:val="0B769F" w:themeColor="accent4" w:themeShade="BF"/>
        </w:rPr>
      </w:pPr>
    </w:p>
    <w:p w14:paraId="3645F04D" w14:textId="77777777" w:rsidR="00AE530B" w:rsidRPr="00DF55D4" w:rsidRDefault="00AE530B" w:rsidP="00DF55D4">
      <w:pPr>
        <w:spacing w:after="0"/>
        <w:contextualSpacing/>
        <w:jc w:val="both"/>
        <w:rPr>
          <w:rFonts w:ascii="Arial" w:hAnsi="Arial" w:cs="Arial"/>
          <w:color w:val="0B769F" w:themeColor="accent4" w:themeShade="BF"/>
          <w:lang w:eastAsia="es-ES"/>
        </w:rPr>
      </w:pPr>
      <w:r w:rsidRPr="00DF55D4">
        <w:rPr>
          <w:rFonts w:ascii="Arial" w:hAnsi="Arial" w:cs="Arial"/>
          <w:color w:val="0B769F" w:themeColor="accent4" w:themeShade="BF"/>
          <w:lang w:eastAsia="es-ES"/>
        </w:rPr>
        <w:t xml:space="preserve">“DE LA OCURRENCIA Y CONTENIDO DE LA LIQUIDACIÓN. </w:t>
      </w:r>
      <w:r w:rsidRPr="00DF55D4">
        <w:rPr>
          <w:rFonts w:ascii="Arial" w:hAnsi="Arial" w:cs="Arial"/>
          <w:color w:val="0B769F" w:themeColor="accent4" w:themeShade="BF"/>
          <w:u w:val="single"/>
          <w:lang w:eastAsia="es-ES"/>
        </w:rPr>
        <w:t>Los contratos de tracto sucesivo, aquellos cuya ejecución o cumplimiento se prolongue en el tiempo y los demás que lo requieran, serán objeto de liquidación</w:t>
      </w:r>
      <w:r w:rsidRPr="00DF55D4">
        <w:rPr>
          <w:rFonts w:ascii="Arial" w:hAnsi="Arial" w:cs="Arial"/>
          <w:color w:val="0B769F" w:themeColor="accent4" w:themeShade="BF"/>
          <w:lang w:eastAsia="es-ES"/>
        </w:rPr>
        <w:t>.</w:t>
      </w:r>
    </w:p>
    <w:p w14:paraId="34209B61" w14:textId="77777777" w:rsidR="00AE530B" w:rsidRPr="00DF55D4" w:rsidRDefault="00AE530B" w:rsidP="00DF55D4">
      <w:pPr>
        <w:spacing w:after="0"/>
        <w:contextualSpacing/>
        <w:jc w:val="both"/>
        <w:rPr>
          <w:rFonts w:ascii="Arial" w:hAnsi="Arial" w:cs="Arial"/>
          <w:color w:val="0B769F" w:themeColor="accent4" w:themeShade="BF"/>
          <w:lang w:eastAsia="es-ES"/>
        </w:rPr>
      </w:pPr>
    </w:p>
    <w:p w14:paraId="61F5B72C" w14:textId="77777777" w:rsidR="00AE530B" w:rsidRPr="00DF55D4" w:rsidRDefault="00AE530B" w:rsidP="00DF55D4">
      <w:pPr>
        <w:spacing w:after="0"/>
        <w:contextualSpacing/>
        <w:jc w:val="both"/>
        <w:rPr>
          <w:rFonts w:ascii="Arial" w:hAnsi="Arial" w:cs="Arial"/>
          <w:color w:val="0B769F" w:themeColor="accent4" w:themeShade="BF"/>
          <w:lang w:eastAsia="es-ES"/>
        </w:rPr>
      </w:pPr>
      <w:r w:rsidRPr="00DF55D4">
        <w:rPr>
          <w:rFonts w:ascii="Arial" w:hAnsi="Arial" w:cs="Arial"/>
          <w:color w:val="0B769F" w:themeColor="accent4" w:themeShade="BF"/>
          <w:lang w:eastAsia="es-ES"/>
        </w:rPr>
        <w:t>También en esta etapa las partes acordarán los ajustes, revisiones y reconocimientos a que haya lugar.</w:t>
      </w:r>
    </w:p>
    <w:p w14:paraId="2A80F225" w14:textId="77777777" w:rsidR="00AE530B" w:rsidRPr="00DF55D4" w:rsidRDefault="00AE530B" w:rsidP="00DF55D4">
      <w:pPr>
        <w:spacing w:after="0"/>
        <w:contextualSpacing/>
        <w:jc w:val="both"/>
        <w:rPr>
          <w:rFonts w:ascii="Arial" w:hAnsi="Arial" w:cs="Arial"/>
          <w:color w:val="0B769F" w:themeColor="accent4" w:themeShade="BF"/>
          <w:lang w:eastAsia="es-ES"/>
        </w:rPr>
      </w:pPr>
    </w:p>
    <w:p w14:paraId="2FD64325" w14:textId="77777777" w:rsidR="00AE530B" w:rsidRPr="00DF55D4" w:rsidRDefault="00AE530B" w:rsidP="00DF55D4">
      <w:pPr>
        <w:spacing w:after="0"/>
        <w:contextualSpacing/>
        <w:jc w:val="both"/>
        <w:rPr>
          <w:rFonts w:ascii="Arial" w:hAnsi="Arial" w:cs="Arial"/>
          <w:color w:val="0B769F" w:themeColor="accent4" w:themeShade="BF"/>
          <w:lang w:eastAsia="es-ES"/>
        </w:rPr>
      </w:pPr>
      <w:r w:rsidRPr="00DF55D4">
        <w:rPr>
          <w:rFonts w:ascii="Arial" w:hAnsi="Arial" w:cs="Arial"/>
          <w:color w:val="0B769F" w:themeColor="accent4" w:themeShade="BF"/>
          <w:u w:val="single"/>
          <w:lang w:eastAsia="es-ES"/>
        </w:rPr>
        <w:lastRenderedPageBreak/>
        <w:t>En el acta de liquidación constarán los acuerdos, conciliaciones y transacciones a que llegaren las partes para poner fin a las divergencias presentadas y poder declararse a paz y salvo</w:t>
      </w:r>
      <w:r w:rsidRPr="00DF55D4">
        <w:rPr>
          <w:rFonts w:ascii="Arial" w:hAnsi="Arial" w:cs="Arial"/>
          <w:color w:val="0B769F" w:themeColor="accent4" w:themeShade="BF"/>
          <w:lang w:eastAsia="es-ES"/>
        </w:rPr>
        <w:t>.</w:t>
      </w:r>
    </w:p>
    <w:p w14:paraId="49DAA3C7" w14:textId="77777777" w:rsidR="00AE530B" w:rsidRPr="00DF55D4" w:rsidRDefault="00AE530B" w:rsidP="00DF55D4">
      <w:pPr>
        <w:spacing w:after="0"/>
        <w:contextualSpacing/>
        <w:jc w:val="both"/>
        <w:rPr>
          <w:rFonts w:ascii="Arial" w:hAnsi="Arial" w:cs="Arial"/>
          <w:color w:val="0B769F" w:themeColor="accent4" w:themeShade="BF"/>
          <w:lang w:eastAsia="es-ES"/>
        </w:rPr>
      </w:pPr>
    </w:p>
    <w:p w14:paraId="63C9F21E" w14:textId="77777777" w:rsidR="00AE530B" w:rsidRPr="00DF55D4" w:rsidRDefault="00AE530B" w:rsidP="00DF55D4">
      <w:pPr>
        <w:spacing w:after="0"/>
        <w:contextualSpacing/>
        <w:jc w:val="both"/>
        <w:rPr>
          <w:rFonts w:ascii="Arial" w:hAnsi="Arial" w:cs="Arial"/>
          <w:color w:val="0B769F" w:themeColor="accent4" w:themeShade="BF"/>
          <w:lang w:eastAsia="es-ES"/>
        </w:rPr>
      </w:pPr>
      <w:r w:rsidRPr="00DF55D4">
        <w:rPr>
          <w:rFonts w:ascii="Arial" w:hAnsi="Arial" w:cs="Arial"/>
          <w:color w:val="0B769F" w:themeColor="accent4" w:themeShade="BF"/>
          <w:lang w:eastAsia="es-ES"/>
        </w:rPr>
        <w:t>Para la liquidación se exigirá al contratista la extensión o ampliación, si es del caso, de la garantía del contrato a la estabilidad de la obra, a la calidad del bien o servicio suministrado, a la provisión de repuestos y accesorios, al pago de salarios, prestaciones e indemnizaciones, a la responsabilidad civil y, en general, para avalar las obligaciones que deba cumplir con posterioridad a la extinción del contrato.</w:t>
      </w:r>
    </w:p>
    <w:p w14:paraId="555A4728" w14:textId="77777777" w:rsidR="00AE530B" w:rsidRPr="00DF55D4" w:rsidRDefault="00AE530B" w:rsidP="00DF55D4">
      <w:pPr>
        <w:spacing w:after="0"/>
        <w:contextualSpacing/>
        <w:jc w:val="both"/>
        <w:rPr>
          <w:rFonts w:ascii="Arial" w:hAnsi="Arial" w:cs="Arial"/>
          <w:color w:val="0B769F" w:themeColor="accent4" w:themeShade="BF"/>
          <w:lang w:eastAsia="es-ES"/>
        </w:rPr>
      </w:pPr>
    </w:p>
    <w:p w14:paraId="0368B6B5" w14:textId="77777777" w:rsidR="00AE530B" w:rsidRPr="00DF55D4" w:rsidRDefault="00AE530B" w:rsidP="00DF55D4">
      <w:pPr>
        <w:spacing w:after="0"/>
        <w:contextualSpacing/>
        <w:jc w:val="both"/>
        <w:rPr>
          <w:rFonts w:ascii="Arial" w:hAnsi="Arial" w:cs="Arial"/>
          <w:color w:val="0B769F" w:themeColor="accent4" w:themeShade="BF"/>
          <w:lang w:eastAsia="es-ES"/>
        </w:rPr>
      </w:pPr>
      <w:r w:rsidRPr="00DF55D4">
        <w:rPr>
          <w:rFonts w:ascii="Arial" w:hAnsi="Arial" w:cs="Arial"/>
          <w:color w:val="0B769F" w:themeColor="accent4" w:themeShade="BF"/>
          <w:lang w:eastAsia="es-ES"/>
        </w:rPr>
        <w:t xml:space="preserve">La liquidación a que se refiere el presente artículo no será obligatoria en los contratos de prestación de servicios profesionales y de apoyo a la gestión.” </w:t>
      </w:r>
      <w:r w:rsidRPr="00DF55D4">
        <w:rPr>
          <w:rFonts w:ascii="Arial" w:eastAsia="Times New Roman" w:hAnsi="Arial" w:cs="Arial"/>
          <w:color w:val="0B769F" w:themeColor="accent4" w:themeShade="BF"/>
          <w:lang w:val="es-CO" w:eastAsia="es-ES"/>
        </w:rPr>
        <w:t>(Subrayado fuera de texto)</w:t>
      </w:r>
    </w:p>
    <w:p w14:paraId="6335E3D1"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2571AD42"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Por otra parte, el numeral 3º del artículo 297 del CPACA, precisa que “prestarán merito ejecutivo, los contratos, los documentos en que consten sus garantías, junto con el acto administrativo a través del cual se declare su incumplimiento, </w:t>
      </w:r>
      <w:r w:rsidRPr="00DF55D4">
        <w:rPr>
          <w:rFonts w:ascii="Arial" w:eastAsia="Times New Roman" w:hAnsi="Arial" w:cs="Arial"/>
          <w:color w:val="0B769F" w:themeColor="accent4" w:themeShade="BF"/>
          <w:u w:val="single"/>
          <w:lang w:val="es-CO" w:eastAsia="es-ES"/>
        </w:rPr>
        <w:t>el acta de liquidación del contrato, o cualquier acto proferido con ocasión de la actividad contractual, en los que consten obligaciones claras, expresas y exigibles, a cargo de las partes intervinientes en tales actuaciones.</w:t>
      </w:r>
      <w:r w:rsidRPr="00DF55D4">
        <w:rPr>
          <w:rFonts w:ascii="Arial" w:eastAsia="Times New Roman" w:hAnsi="Arial" w:cs="Arial"/>
          <w:color w:val="0B769F" w:themeColor="accent4" w:themeShade="BF"/>
          <w:lang w:val="es-CO" w:eastAsia="es-ES"/>
        </w:rPr>
        <w:t xml:space="preserve">” (Subrayado fuera de texto) </w:t>
      </w:r>
    </w:p>
    <w:p w14:paraId="151078C6"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33F5F575" w14:textId="77777777" w:rsidR="00AE530B" w:rsidRPr="00DF55D4" w:rsidRDefault="00AE530B" w:rsidP="00DF55D4">
      <w:pPr>
        <w:spacing w:after="0"/>
        <w:contextualSpacing/>
        <w:jc w:val="both"/>
        <w:rPr>
          <w:rFonts w:ascii="Arial" w:hAnsi="Arial" w:cs="Arial"/>
          <w:color w:val="0B769F" w:themeColor="accent4" w:themeShade="BF"/>
          <w:lang w:eastAsia="es-ES"/>
        </w:rPr>
      </w:pPr>
      <w:r w:rsidRPr="00DF55D4">
        <w:rPr>
          <w:rFonts w:ascii="Arial" w:hAnsi="Arial" w:cs="Arial"/>
          <w:color w:val="0B769F" w:themeColor="accent4" w:themeShade="BF"/>
          <w:lang w:eastAsia="es-ES"/>
        </w:rPr>
        <w:t>De las normas citadas, no se condiciona la exigibilidad del título ejecutivo a documentos presupuestales adicionales para su perfeccionamiento, ya que no se trata de un título complejo, por tanto se infiere que no se requiere la expedición de un certificado de disponibilidad presupuestal – CDP ni registro presupuestal para la exigibilidad de la obligación contenida en el  acta liquidación del convenio; puesto que esta es el producto del análisis técnico y económico que se realiza por la terminación de la ejecución del contrato, y tiene como objeto determinar si las partes pueden declararse a paz y salvo o si tienen obligaciones por cumplir y la forma como deben hacerlo.</w:t>
      </w:r>
    </w:p>
    <w:p w14:paraId="7DD665D0" w14:textId="77777777" w:rsidR="00AE530B" w:rsidRPr="00DF55D4" w:rsidRDefault="00AE530B" w:rsidP="00DF55D4">
      <w:pPr>
        <w:spacing w:after="0"/>
        <w:contextualSpacing/>
        <w:jc w:val="both"/>
        <w:rPr>
          <w:rFonts w:ascii="Arial" w:hAnsi="Arial" w:cs="Arial"/>
          <w:color w:val="0B769F" w:themeColor="accent4" w:themeShade="BF"/>
          <w:lang w:eastAsia="es-ES"/>
        </w:rPr>
      </w:pPr>
    </w:p>
    <w:p w14:paraId="250CD460" w14:textId="1D1C3AAB" w:rsidR="00AE530B" w:rsidRPr="00DF55D4" w:rsidRDefault="00AE530B" w:rsidP="00DF55D4">
      <w:pPr>
        <w:spacing w:after="0"/>
        <w:contextualSpacing/>
        <w:jc w:val="both"/>
        <w:rPr>
          <w:rFonts w:ascii="Arial" w:hAnsi="Arial" w:cs="Arial"/>
          <w:color w:val="0B769F" w:themeColor="accent4" w:themeShade="BF"/>
          <w:lang w:eastAsia="es-ES"/>
        </w:rPr>
      </w:pPr>
      <w:r w:rsidRPr="00DF55D4">
        <w:rPr>
          <w:rFonts w:ascii="Arial" w:hAnsi="Arial" w:cs="Arial"/>
          <w:color w:val="0B769F" w:themeColor="accent4" w:themeShade="BF"/>
          <w:lang w:eastAsia="es-ES"/>
        </w:rPr>
        <w:t xml:space="preserve">En ese orden de ideas, al ser la liquidación un acuerdo de voluntades entre las partes, en relación con el balance final del convenio, el acta correspondiente es un título ejecutivo </w:t>
      </w:r>
      <w:r w:rsidRPr="00DF55D4">
        <w:rPr>
          <w:rFonts w:ascii="Arial" w:hAnsi="Arial" w:cs="Arial"/>
          <w:bCs/>
          <w:color w:val="0B769F" w:themeColor="accent4" w:themeShade="BF"/>
        </w:rPr>
        <w:t>que contiene una obligación clara, expresa y exigible a favor del ICBF</w:t>
      </w:r>
      <w:r w:rsidRPr="00DF55D4">
        <w:rPr>
          <w:rFonts w:ascii="Arial" w:hAnsi="Arial" w:cs="Arial"/>
          <w:color w:val="0B769F" w:themeColor="accent4" w:themeShade="BF"/>
          <w:lang w:eastAsia="es-ES"/>
        </w:rPr>
        <w:t xml:space="preserve">, puesto que el </w:t>
      </w:r>
      <w:proofErr w:type="spellStart"/>
      <w:r w:rsidR="00F20719" w:rsidRPr="00DF55D4">
        <w:rPr>
          <w:rFonts w:ascii="Arial" w:hAnsi="Arial" w:cs="Arial"/>
          <w:color w:val="0B769F" w:themeColor="accent4" w:themeShade="BF"/>
          <w:highlight w:val="yellow"/>
          <w:lang w:eastAsia="es-ES"/>
        </w:rPr>
        <w:t>xxxx</w:t>
      </w:r>
      <w:proofErr w:type="spellEnd"/>
      <w:r w:rsidRPr="00DF55D4">
        <w:rPr>
          <w:rFonts w:ascii="Arial" w:hAnsi="Arial" w:cs="Arial"/>
          <w:color w:val="0B769F" w:themeColor="accent4" w:themeShade="BF"/>
          <w:lang w:eastAsia="es-ES"/>
        </w:rPr>
        <w:t xml:space="preserve"> reconoció libremente la obligación de reembolsar </w:t>
      </w:r>
      <w:r w:rsidR="00F20719" w:rsidRPr="00DF55D4">
        <w:rPr>
          <w:rFonts w:ascii="Arial" w:hAnsi="Arial" w:cs="Arial"/>
          <w:color w:val="0B769F" w:themeColor="accent4" w:themeShade="BF"/>
          <w:highlight w:val="yellow"/>
        </w:rPr>
        <w:t>xxxxx</w:t>
      </w:r>
      <w:r w:rsidRPr="00DF55D4">
        <w:rPr>
          <w:rFonts w:ascii="Arial" w:hAnsi="Arial" w:cs="Arial"/>
          <w:bCs/>
          <w:color w:val="0B769F" w:themeColor="accent4" w:themeShade="BF"/>
        </w:rPr>
        <w:t xml:space="preserve">, </w:t>
      </w:r>
      <w:r w:rsidRPr="00DF55D4">
        <w:rPr>
          <w:rFonts w:ascii="Arial" w:hAnsi="Arial" w:cs="Arial"/>
          <w:color w:val="0B769F" w:themeColor="accent4" w:themeShade="BF"/>
        </w:rPr>
        <w:t xml:space="preserve">sin que se hicieran salvedades al respecto. </w:t>
      </w:r>
    </w:p>
    <w:p w14:paraId="783C2B6E"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375B22E2" w14:textId="77777777" w:rsidR="00AE530B" w:rsidRPr="00DF55D4" w:rsidRDefault="00AE530B" w:rsidP="00DF55D4">
      <w:pPr>
        <w:spacing w:after="0"/>
        <w:contextualSpacing/>
        <w:jc w:val="both"/>
        <w:rPr>
          <w:rFonts w:ascii="Arial" w:eastAsia="Times New Roman" w:hAnsi="Arial" w:cs="Arial"/>
          <w:b/>
          <w:bCs/>
          <w:color w:val="0B769F" w:themeColor="accent4" w:themeShade="BF"/>
          <w:lang w:val="es-CO" w:eastAsia="es-ES"/>
        </w:rPr>
      </w:pPr>
      <w:r w:rsidRPr="00DF55D4">
        <w:rPr>
          <w:rFonts w:ascii="Arial" w:eastAsia="Times New Roman" w:hAnsi="Arial" w:cs="Arial"/>
          <w:b/>
          <w:bCs/>
          <w:color w:val="0B769F" w:themeColor="accent4" w:themeShade="BF"/>
          <w:lang w:val="es-CO" w:eastAsia="es-ES"/>
        </w:rPr>
        <w:t>3.2. Respecto al argumento “no se ha integrado el título con el informe y demás documentos a que se refiere el Acta de Liquidación”</w:t>
      </w:r>
    </w:p>
    <w:p w14:paraId="3E55FEC2"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041B3D56"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Manifiesta el apoderado que en el mandamiento de pago “no se hace mención alguna a los documentos referenciados en las cláusulas citadas, siendo que todos esos documentos hacen parte integral del acta de liquidación como textualmente lo indica esta, por lo que no está debidamente integrado el título ejecutivo y por ello no debió librarse orden de pago” </w:t>
      </w:r>
    </w:p>
    <w:p w14:paraId="240CAC17"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1532A967"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En este sentido, conforme a lo referido atrás, es decir que el titulo ejecutivo no está condicionado a la exigibilidad de documentos adicionales, es necesario tener en cuenta que en reiterada jurisprudencia el Consejo de Estado se ha pronunciado manifestando que el acta de liquidación del contrato constituye por sí misma título ejecutivo que faculta a las partes para realizar el cobro de las obligaciones que allí se determinen, ya que esta tiene como naturaleza jurídica, la de ajuste final de cuentas del contrato. Al respecto el máximo Tribunal Administrativo ha expresado:</w:t>
      </w:r>
    </w:p>
    <w:p w14:paraId="53998CFD"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44C2A512"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lastRenderedPageBreak/>
        <w:t>“De lo expuesto se colige que liquidar el contrato es finiquitarlo; con la liquidación del contrato se define el estado económico del mismo y que, liquidado el contrato, debe estarse a lo resuelto en la liquidación respecto de las obligaciones derivadas del contrato estatal, sin perjuicio de lo que pueda demandarse su modificación, por vía judicial.</w:t>
      </w:r>
    </w:p>
    <w:p w14:paraId="7A43713D"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085C18DD"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Todo lo anterior ha servido de fundamento a la Sala para afirmar que el acta de liquidación del contrato constituye el único título ejecutivo válido, teniendo en cuenta que, como se dijo, ella es el balance final de las obligaciones a cargo de las partes y por ende sólo pueden tenerse como claras, expresas y exigibles las que emanen de la misma (…)”</w:t>
      </w:r>
      <w:r w:rsidRPr="00DF55D4">
        <w:rPr>
          <w:rStyle w:val="Refdenotaalpie"/>
          <w:rFonts w:ascii="Arial" w:eastAsia="Times New Roman" w:hAnsi="Arial" w:cs="Arial"/>
          <w:color w:val="0B769F" w:themeColor="accent4" w:themeShade="BF"/>
          <w:lang w:val="es-CO" w:eastAsia="es-ES"/>
        </w:rPr>
        <w:footnoteReference w:id="1"/>
      </w:r>
      <w:r w:rsidRPr="00DF55D4">
        <w:rPr>
          <w:rFonts w:ascii="Arial" w:eastAsia="Times New Roman" w:hAnsi="Arial" w:cs="Arial"/>
          <w:color w:val="0B769F" w:themeColor="accent4" w:themeShade="BF"/>
          <w:lang w:val="es-CO" w:eastAsia="es-ES"/>
        </w:rPr>
        <w:t xml:space="preserve">.  </w:t>
      </w:r>
    </w:p>
    <w:p w14:paraId="503298BF"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401AB5A6" w14:textId="2A84ECFB"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Es claro que el Acta de Liquidación de </w:t>
      </w:r>
      <w:proofErr w:type="spellStart"/>
      <w:r w:rsidR="00F20719" w:rsidRPr="00DF55D4">
        <w:rPr>
          <w:rFonts w:ascii="Arial" w:eastAsia="Times New Roman" w:hAnsi="Arial" w:cs="Arial"/>
          <w:color w:val="0B769F" w:themeColor="accent4" w:themeShade="BF"/>
          <w:highlight w:val="yellow"/>
          <w:lang w:val="es-CO" w:eastAsia="es-ES"/>
        </w:rPr>
        <w:t>xxxx</w:t>
      </w:r>
      <w:proofErr w:type="spellEnd"/>
      <w:r w:rsidRPr="00DF55D4">
        <w:rPr>
          <w:rFonts w:ascii="Arial" w:eastAsia="Times New Roman" w:hAnsi="Arial" w:cs="Arial"/>
          <w:color w:val="0B769F" w:themeColor="accent4" w:themeShade="BF"/>
          <w:highlight w:val="yellow"/>
          <w:lang w:val="es-CO" w:eastAsia="es-ES"/>
        </w:rPr>
        <w:t>,</w:t>
      </w:r>
      <w:r w:rsidRPr="00DF55D4">
        <w:rPr>
          <w:rFonts w:ascii="Arial" w:eastAsia="Times New Roman" w:hAnsi="Arial" w:cs="Arial"/>
          <w:color w:val="0B769F" w:themeColor="accent4" w:themeShade="BF"/>
          <w:lang w:val="es-CO" w:eastAsia="es-ES"/>
        </w:rPr>
        <w:t xml:space="preserve"> constituye título ejecutivo que contiene una obligación clara, expresa y exigible al tenor de lo dispuesto en el artículo 99 del Código de Procedimiento Administrativo y de lo contencioso Administrativo, el cual faculta a la Entidad para iniciar el Proceso Administrativo de Cobro Coactivo, sin que para ello se hubiese requerido relacionar en el mandamiento de pago los documentos indicados en esta, que fueron conocidos por el </w:t>
      </w:r>
      <w:proofErr w:type="spellStart"/>
      <w:r w:rsidR="00F20719" w:rsidRPr="00DF55D4">
        <w:rPr>
          <w:rFonts w:ascii="Arial" w:eastAsia="Times New Roman" w:hAnsi="Arial" w:cs="Arial"/>
          <w:color w:val="0B769F" w:themeColor="accent4" w:themeShade="BF"/>
          <w:highlight w:val="yellow"/>
          <w:lang w:val="es-CO" w:eastAsia="es-ES"/>
        </w:rPr>
        <w:t>Xxxx</w:t>
      </w:r>
      <w:proofErr w:type="spellEnd"/>
      <w:r w:rsidRPr="00DF55D4">
        <w:rPr>
          <w:rFonts w:ascii="Arial" w:eastAsia="Times New Roman" w:hAnsi="Arial" w:cs="Arial"/>
          <w:color w:val="0B769F" w:themeColor="accent4" w:themeShade="BF"/>
          <w:lang w:val="es-CO" w:eastAsia="es-ES"/>
        </w:rPr>
        <w:t xml:space="preserve"> y que contienen datos informativos que no modifican el monto de la obligación a favor del ICBF, la cual se encuentra detallada en el resumen financiero del Acta. </w:t>
      </w:r>
    </w:p>
    <w:p w14:paraId="5BB7681C"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2621ECF7"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b/>
          <w:bCs/>
          <w:color w:val="0B769F" w:themeColor="accent4" w:themeShade="BF"/>
          <w:lang w:val="es-CO" w:eastAsia="es-ES"/>
        </w:rPr>
        <w:t>3.3</w:t>
      </w:r>
      <w:r w:rsidRPr="00DF55D4">
        <w:rPr>
          <w:rFonts w:ascii="Arial" w:eastAsia="Times New Roman" w:hAnsi="Arial" w:cs="Arial"/>
          <w:color w:val="0B769F" w:themeColor="accent4" w:themeShade="BF"/>
          <w:lang w:val="es-CO" w:eastAsia="es-ES"/>
        </w:rPr>
        <w:t xml:space="preserve">.  </w:t>
      </w:r>
      <w:r w:rsidRPr="00DF55D4">
        <w:rPr>
          <w:rFonts w:ascii="Arial" w:eastAsia="Times New Roman" w:hAnsi="Arial" w:cs="Arial"/>
          <w:b/>
          <w:bCs/>
          <w:color w:val="0B769F" w:themeColor="accent4" w:themeShade="BF"/>
          <w:lang w:val="es-CO" w:eastAsia="es-ES"/>
        </w:rPr>
        <w:t>En cuanto al argumento respecto a la “incongruencia entre lo señalado en el Acta de Liquidación y el monto del Mandamiento de Pago”</w:t>
      </w:r>
    </w:p>
    <w:p w14:paraId="7E8C7DB1"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6EBEF7D1" w14:textId="4553ADD4"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Argumenta el apoderado: “Según Acta de Liquidación presentada como ejecución, el </w:t>
      </w:r>
      <w:proofErr w:type="spellStart"/>
      <w:r w:rsidR="00F20719" w:rsidRPr="00DF55D4">
        <w:rPr>
          <w:rFonts w:ascii="Arial" w:eastAsia="Times New Roman" w:hAnsi="Arial" w:cs="Arial"/>
          <w:color w:val="0B769F" w:themeColor="accent4" w:themeShade="BF"/>
          <w:highlight w:val="yellow"/>
          <w:lang w:val="es-CO" w:eastAsia="es-ES"/>
        </w:rPr>
        <w:t>Xxxx</w:t>
      </w:r>
      <w:proofErr w:type="spellEnd"/>
      <w:r w:rsidRPr="00DF55D4">
        <w:rPr>
          <w:rFonts w:ascii="Arial" w:eastAsia="Times New Roman" w:hAnsi="Arial" w:cs="Arial"/>
          <w:color w:val="0B769F" w:themeColor="accent4" w:themeShade="BF"/>
          <w:lang w:val="es-CO" w:eastAsia="es-ES"/>
        </w:rPr>
        <w:t xml:space="preserve"> reconoce como obligación a reintegrar a la ejecutante la suma de </w:t>
      </w:r>
      <w:r w:rsidRPr="00DF55D4">
        <w:rPr>
          <w:rFonts w:ascii="Arial" w:eastAsia="Times New Roman" w:hAnsi="Arial" w:cs="Arial"/>
          <w:color w:val="0B769F" w:themeColor="accent4" w:themeShade="BF"/>
          <w:highlight w:val="yellow"/>
          <w:lang w:val="es-CO" w:eastAsia="es-ES"/>
        </w:rPr>
        <w:t>$</w:t>
      </w:r>
      <w:proofErr w:type="spellStart"/>
      <w:r w:rsidR="00F20719" w:rsidRPr="00DF55D4">
        <w:rPr>
          <w:rFonts w:ascii="Arial" w:eastAsia="Times New Roman" w:hAnsi="Arial" w:cs="Arial"/>
          <w:color w:val="0B769F" w:themeColor="accent4" w:themeShade="BF"/>
          <w:highlight w:val="yellow"/>
          <w:lang w:val="es-CO" w:eastAsia="es-ES"/>
        </w:rPr>
        <w:t>xxxx</w:t>
      </w:r>
      <w:proofErr w:type="spellEnd"/>
      <w:r w:rsidRPr="00DF55D4">
        <w:rPr>
          <w:rFonts w:ascii="Arial" w:eastAsia="Times New Roman" w:hAnsi="Arial" w:cs="Arial"/>
          <w:color w:val="0B769F" w:themeColor="accent4" w:themeShade="BF"/>
          <w:lang w:val="es-CO" w:eastAsia="es-ES"/>
        </w:rPr>
        <w:t xml:space="preserve"> </w:t>
      </w:r>
    </w:p>
    <w:p w14:paraId="2F360B55"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475D7FD7" w14:textId="321F7028"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Al respecto, es importante destacar que de acuerdo con lo establecido en el artículo 5</w:t>
      </w:r>
      <w:r w:rsidR="004F0800">
        <w:rPr>
          <w:rFonts w:ascii="Arial" w:eastAsia="Times New Roman" w:hAnsi="Arial" w:cs="Arial"/>
          <w:color w:val="0B769F" w:themeColor="accent4" w:themeShade="BF"/>
          <w:lang w:val="es-CO" w:eastAsia="es-ES"/>
        </w:rPr>
        <w:t>7</w:t>
      </w:r>
      <w:r w:rsidRPr="00DF55D4">
        <w:rPr>
          <w:rFonts w:ascii="Arial" w:eastAsia="Times New Roman" w:hAnsi="Arial" w:cs="Arial"/>
          <w:color w:val="0B769F" w:themeColor="accent4" w:themeShade="BF"/>
          <w:lang w:val="es-CO" w:eastAsia="es-ES"/>
        </w:rPr>
        <w:t xml:space="preserve"> de la Resolución </w:t>
      </w:r>
      <w:r w:rsidR="004F0800">
        <w:rPr>
          <w:rFonts w:ascii="Arial" w:eastAsia="Times New Roman" w:hAnsi="Arial" w:cs="Arial"/>
          <w:color w:val="0B769F" w:themeColor="accent4" w:themeShade="BF"/>
          <w:lang w:val="es-CO" w:eastAsia="es-ES"/>
        </w:rPr>
        <w:t>0140</w:t>
      </w:r>
      <w:r w:rsidRPr="00DF55D4">
        <w:rPr>
          <w:rFonts w:ascii="Arial" w:eastAsia="Times New Roman" w:hAnsi="Arial" w:cs="Arial"/>
          <w:color w:val="0B769F" w:themeColor="accent4" w:themeShade="BF"/>
          <w:lang w:val="es-CO" w:eastAsia="es-ES"/>
        </w:rPr>
        <w:t xml:space="preserve"> de 20</w:t>
      </w:r>
      <w:r w:rsidR="00F20719" w:rsidRPr="00DF55D4">
        <w:rPr>
          <w:rFonts w:ascii="Arial" w:eastAsia="Times New Roman" w:hAnsi="Arial" w:cs="Arial"/>
          <w:color w:val="0B769F" w:themeColor="accent4" w:themeShade="BF"/>
          <w:lang w:val="es-CO" w:eastAsia="es-ES"/>
        </w:rPr>
        <w:t>2</w:t>
      </w:r>
      <w:r w:rsidR="004F0800">
        <w:rPr>
          <w:rFonts w:ascii="Arial" w:eastAsia="Times New Roman" w:hAnsi="Arial" w:cs="Arial"/>
          <w:color w:val="0B769F" w:themeColor="accent4" w:themeShade="BF"/>
          <w:lang w:val="es-CO" w:eastAsia="es-ES"/>
        </w:rPr>
        <w:t>5</w:t>
      </w:r>
      <w:r w:rsidRPr="00DF55D4">
        <w:rPr>
          <w:rFonts w:ascii="Arial" w:eastAsia="Times New Roman" w:hAnsi="Arial" w:cs="Arial"/>
          <w:color w:val="0B769F" w:themeColor="accent4" w:themeShade="BF"/>
          <w:lang w:val="es-CO" w:eastAsia="es-ES"/>
        </w:rPr>
        <w:t xml:space="preserve"> “Reglamento interno de recaudo de cartera en el ICBF”, las obligaciones a favor de la </w:t>
      </w:r>
      <w:proofErr w:type="gramStart"/>
      <w:r w:rsidRPr="00DF55D4">
        <w:rPr>
          <w:rFonts w:ascii="Arial" w:eastAsia="Times New Roman" w:hAnsi="Arial" w:cs="Arial"/>
          <w:color w:val="0B769F" w:themeColor="accent4" w:themeShade="BF"/>
          <w:lang w:val="es-CO" w:eastAsia="es-ES"/>
        </w:rPr>
        <w:t>Entidad,</w:t>
      </w:r>
      <w:proofErr w:type="gramEnd"/>
      <w:r w:rsidRPr="00DF55D4">
        <w:rPr>
          <w:rFonts w:ascii="Arial" w:eastAsia="Times New Roman" w:hAnsi="Arial" w:cs="Arial"/>
          <w:color w:val="0B769F" w:themeColor="accent4" w:themeShade="BF"/>
          <w:lang w:val="es-CO" w:eastAsia="es-ES"/>
        </w:rPr>
        <w:t xml:space="preserve"> causaran interés moratorio por cada día calendario de retardo en el pago.  </w:t>
      </w:r>
    </w:p>
    <w:p w14:paraId="68FE2B47"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79CF2A44"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En ese orden de ideas, respecto a los intereses moratorios generados por obligaciones en materia contractual, el mencionado artículo dispone: “(…) se causará interés de mora a la tasa acordada por las partes. </w:t>
      </w:r>
      <w:r w:rsidRPr="00DF55D4">
        <w:rPr>
          <w:rFonts w:ascii="Arial" w:eastAsia="Times New Roman" w:hAnsi="Arial" w:cs="Arial"/>
          <w:color w:val="0B769F" w:themeColor="accent4" w:themeShade="BF"/>
          <w:u w:val="single"/>
          <w:lang w:val="es-CO" w:eastAsia="es-ES"/>
        </w:rPr>
        <w:t>En caso de no haberse pactado contractualmente el interés de mora, este será el previsto en el artículo 4, numeral 8, inciso 2 de la Ley 80 de 1993</w:t>
      </w:r>
      <w:r w:rsidRPr="00DF55D4">
        <w:rPr>
          <w:rFonts w:ascii="Arial" w:eastAsia="Times New Roman" w:hAnsi="Arial" w:cs="Arial"/>
          <w:color w:val="0B769F" w:themeColor="accent4" w:themeShade="BF"/>
          <w:lang w:val="es-CO" w:eastAsia="es-ES"/>
        </w:rPr>
        <w:t>” (Subrayado fuera de texto)</w:t>
      </w:r>
    </w:p>
    <w:p w14:paraId="1B956CFD"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4E82EA2B"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En virtud a que en el Acta de liquidación del Convenio Interadministrativo No. 686 de 2015, no se estipuló una tasa de interés de mora, se acudió a lo previsto en el artículo 4, numeral 8, inciso 2 de la Ley 80 de 1993, que dispone: “Sin perjuicio de la actualización o revisión de precios, </w:t>
      </w:r>
      <w:r w:rsidRPr="00DF55D4">
        <w:rPr>
          <w:rFonts w:ascii="Arial" w:eastAsia="Times New Roman" w:hAnsi="Arial" w:cs="Arial"/>
          <w:color w:val="0B769F" w:themeColor="accent4" w:themeShade="BF"/>
          <w:u w:val="single"/>
          <w:lang w:val="es-CO" w:eastAsia="es-ES"/>
        </w:rPr>
        <w:t>en caso de no haberse pactado intereses moratorios, se aplicará la tasa equivalente al doble del interés legal civil sobre el valor histórico actualizado</w:t>
      </w:r>
      <w:r w:rsidRPr="00DF55D4">
        <w:rPr>
          <w:rFonts w:ascii="Arial" w:eastAsia="Times New Roman" w:hAnsi="Arial" w:cs="Arial"/>
          <w:color w:val="0B769F" w:themeColor="accent4" w:themeShade="BF"/>
          <w:lang w:val="es-CO" w:eastAsia="es-ES"/>
        </w:rPr>
        <w:t>.” (Subrayado fuera de texto)</w:t>
      </w:r>
    </w:p>
    <w:p w14:paraId="0F5E5FAC"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3288FA1D"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Cabe resaltar que el inciso final del numeral 8 del artículo 4 de la Ley 80 de 1993, fue reglamentado por el artículo 1 del Decreto 679 de 1994, cuyo texto señala: “Para determinar el valor histórico actualizado a que se refiere el artículo 4°, numeral 8° de la Ley 80 de 1993, </w:t>
      </w:r>
      <w:r w:rsidRPr="00DF55D4">
        <w:rPr>
          <w:rFonts w:ascii="Arial" w:eastAsia="Times New Roman" w:hAnsi="Arial" w:cs="Arial"/>
          <w:color w:val="0B769F" w:themeColor="accent4" w:themeShade="BF"/>
          <w:u w:val="single"/>
          <w:lang w:val="es-CO" w:eastAsia="es-ES"/>
        </w:rPr>
        <w:t>se aplicará a la suma debida por cada año de mora el incremento del índice de precios al consumidor entre el 1o. de enero y el 31 de diciembre del año anterior</w:t>
      </w:r>
      <w:r w:rsidRPr="00DF55D4">
        <w:rPr>
          <w:rFonts w:ascii="Arial" w:eastAsia="Times New Roman" w:hAnsi="Arial" w:cs="Arial"/>
          <w:color w:val="0B769F" w:themeColor="accent4" w:themeShade="BF"/>
          <w:lang w:val="es-CO" w:eastAsia="es-ES"/>
        </w:rPr>
        <w:t xml:space="preserve">. (…)” (Subrayado fuera de texto)   </w:t>
      </w:r>
    </w:p>
    <w:p w14:paraId="4BEFFFF4"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513B102D" w14:textId="28AF7E44"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lastRenderedPageBreak/>
        <w:t xml:space="preserve">De acuerdo las normas citadas, la suma determinada en el Acta de Liquidación se indexó conforme a lo dispuesto en el Decreto 679 de 1994; así las cosas, el valor de la indexación es de </w:t>
      </w:r>
      <w:proofErr w:type="spellStart"/>
      <w:r w:rsidR="00F20719" w:rsidRPr="00DF55D4">
        <w:rPr>
          <w:rFonts w:ascii="Arial" w:eastAsia="Times New Roman" w:hAnsi="Arial" w:cs="Arial"/>
          <w:color w:val="0B769F" w:themeColor="accent4" w:themeShade="BF"/>
          <w:highlight w:val="yellow"/>
          <w:lang w:val="es-CO" w:eastAsia="es-ES"/>
        </w:rPr>
        <w:t>xxxx</w:t>
      </w:r>
      <w:proofErr w:type="spellEnd"/>
      <w:r w:rsidRPr="00DF55D4">
        <w:rPr>
          <w:rFonts w:ascii="Arial" w:eastAsia="Times New Roman" w:hAnsi="Arial" w:cs="Arial"/>
          <w:color w:val="0B769F" w:themeColor="accent4" w:themeShade="BF"/>
          <w:highlight w:val="yellow"/>
          <w:lang w:val="es-CO" w:eastAsia="es-ES"/>
        </w:rPr>
        <w:t>,</w:t>
      </w:r>
      <w:r w:rsidRPr="00DF55D4">
        <w:rPr>
          <w:rFonts w:ascii="Arial" w:eastAsia="Times New Roman" w:hAnsi="Arial" w:cs="Arial"/>
          <w:color w:val="0B769F" w:themeColor="accent4" w:themeShade="BF"/>
          <w:lang w:val="es-CO" w:eastAsia="es-ES"/>
        </w:rPr>
        <w:t xml:space="preserve"> en ese orden de ideas, el valor del capital indexado es la suma de </w:t>
      </w:r>
      <w:proofErr w:type="spellStart"/>
      <w:r w:rsidR="00F20719" w:rsidRPr="00DF55D4">
        <w:rPr>
          <w:rFonts w:ascii="Arial" w:eastAsia="Times New Roman" w:hAnsi="Arial" w:cs="Arial"/>
          <w:color w:val="0B769F" w:themeColor="accent4" w:themeShade="BF"/>
          <w:highlight w:val="yellow"/>
          <w:lang w:val="es-CO" w:eastAsia="es-ES"/>
        </w:rPr>
        <w:t>xxxx</w:t>
      </w:r>
      <w:proofErr w:type="spellEnd"/>
      <w:r w:rsidRPr="00DF55D4">
        <w:rPr>
          <w:rFonts w:ascii="Arial" w:eastAsia="Times New Roman" w:hAnsi="Arial" w:cs="Arial"/>
          <w:color w:val="0B769F" w:themeColor="accent4" w:themeShade="BF"/>
          <w:lang w:val="es-CO" w:eastAsia="es-ES"/>
        </w:rPr>
        <w:t xml:space="preserve">, más los intereses moratorios que se generen hasta el pago total de la obligación. </w:t>
      </w:r>
    </w:p>
    <w:p w14:paraId="61E874B3"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2DD1D583" w14:textId="05093D6F" w:rsidR="00AE530B" w:rsidRPr="00DF55D4" w:rsidRDefault="00AE530B" w:rsidP="00DF55D4">
      <w:pPr>
        <w:spacing w:after="0"/>
        <w:contextualSpacing/>
        <w:jc w:val="both"/>
        <w:rPr>
          <w:rFonts w:ascii="Arial" w:hAnsi="Arial" w:cs="Arial"/>
          <w:bCs/>
          <w:color w:val="0B769F" w:themeColor="accent4" w:themeShade="BF"/>
        </w:rPr>
      </w:pPr>
      <w:r w:rsidRPr="00DF55D4">
        <w:rPr>
          <w:rFonts w:ascii="Arial" w:eastAsia="Times New Roman" w:hAnsi="Arial" w:cs="Arial"/>
          <w:color w:val="0B769F" w:themeColor="accent4" w:themeShade="BF"/>
          <w:lang w:val="es-CO" w:eastAsia="es-ES"/>
        </w:rPr>
        <w:t xml:space="preserve">Ahora bien, en atención a que el 26 de abril de 2019 el deudor realizó un abono por </w:t>
      </w:r>
      <w:proofErr w:type="spellStart"/>
      <w:r w:rsidR="00F20719" w:rsidRPr="00DF55D4">
        <w:rPr>
          <w:rFonts w:ascii="Arial" w:eastAsia="Times New Roman" w:hAnsi="Arial" w:cs="Arial"/>
          <w:color w:val="0B769F" w:themeColor="accent4" w:themeShade="BF"/>
          <w:highlight w:val="yellow"/>
          <w:lang w:val="es-CO" w:eastAsia="es-ES"/>
        </w:rPr>
        <w:t>xxxx</w:t>
      </w:r>
      <w:proofErr w:type="spellEnd"/>
      <w:r w:rsidR="00F20719" w:rsidRPr="00DF55D4">
        <w:rPr>
          <w:rFonts w:ascii="Arial" w:hAnsi="Arial" w:cs="Arial"/>
          <w:bCs/>
          <w:color w:val="0B769F" w:themeColor="accent4" w:themeShade="BF"/>
        </w:rPr>
        <w:t xml:space="preserve"> </w:t>
      </w:r>
      <w:r w:rsidRPr="00DF55D4">
        <w:rPr>
          <w:rFonts w:ascii="Arial" w:hAnsi="Arial" w:cs="Arial"/>
          <w:bCs/>
          <w:color w:val="0B769F" w:themeColor="accent4" w:themeShade="BF"/>
        </w:rPr>
        <w:t xml:space="preserve">el pago se imputó conforme a lo dispuesto en el artículo 7 de la Resolución 384 de 2008, es decir, tanto a capital como a intereses, en la misma proporción en que cada uno de estos rubros participa en el total de la obligación, </w:t>
      </w:r>
      <w:r w:rsidRPr="00DF55D4">
        <w:rPr>
          <w:rFonts w:ascii="Arial" w:hAnsi="Arial" w:cs="Arial"/>
          <w:color w:val="0B769F" w:themeColor="accent4" w:themeShade="BF"/>
        </w:rPr>
        <w:t>buscando con ello garantizar una amortización equitativa de las deudas</w:t>
      </w:r>
      <w:r w:rsidRPr="00DF55D4">
        <w:rPr>
          <w:rFonts w:ascii="Arial" w:hAnsi="Arial" w:cs="Arial"/>
          <w:bCs/>
          <w:color w:val="0B769F" w:themeColor="accent4" w:themeShade="BF"/>
        </w:rPr>
        <w:t xml:space="preserve">, como se refleja en el siguiente cuadro:   </w:t>
      </w:r>
    </w:p>
    <w:p w14:paraId="65F8DE4D" w14:textId="77777777" w:rsidR="00AE530B" w:rsidRPr="00DF55D4" w:rsidRDefault="00AE530B" w:rsidP="00DF55D4">
      <w:pPr>
        <w:spacing w:after="0"/>
        <w:contextualSpacing/>
        <w:jc w:val="both"/>
        <w:rPr>
          <w:rFonts w:ascii="Arial" w:hAnsi="Arial" w:cs="Arial"/>
          <w:bCs/>
          <w:color w:val="0B769F" w:themeColor="accent4" w:themeShade="BF"/>
        </w:rPr>
      </w:pPr>
    </w:p>
    <w:tbl>
      <w:tblPr>
        <w:tblStyle w:val="Tablaconcuadrcula"/>
        <w:tblW w:w="0" w:type="auto"/>
        <w:jc w:val="center"/>
        <w:tblLook w:val="04A0" w:firstRow="1" w:lastRow="0" w:firstColumn="1" w:lastColumn="0" w:noHBand="0" w:noVBand="1"/>
      </w:tblPr>
      <w:tblGrid>
        <w:gridCol w:w="4259"/>
        <w:gridCol w:w="2466"/>
        <w:gridCol w:w="2160"/>
      </w:tblGrid>
      <w:tr w:rsidR="00F20719" w:rsidRPr="00DF55D4" w14:paraId="3BA58EBB" w14:textId="77777777" w:rsidTr="00543714">
        <w:trPr>
          <w:jc w:val="center"/>
        </w:trPr>
        <w:tc>
          <w:tcPr>
            <w:tcW w:w="4259" w:type="dxa"/>
          </w:tcPr>
          <w:p w14:paraId="17751667" w14:textId="77777777" w:rsidR="00AE530B" w:rsidRPr="00DF55D4" w:rsidRDefault="00AE530B" w:rsidP="00DF55D4">
            <w:pPr>
              <w:spacing w:after="0"/>
              <w:contextualSpacing/>
              <w:jc w:val="center"/>
              <w:rPr>
                <w:rFonts w:ascii="Arial" w:eastAsia="Times New Roman" w:hAnsi="Arial" w:cs="Arial"/>
                <w:b/>
                <w:bCs/>
                <w:color w:val="0B769F" w:themeColor="accent4" w:themeShade="BF"/>
                <w:lang w:val="es-CO" w:eastAsia="es-ES"/>
              </w:rPr>
            </w:pPr>
            <w:r w:rsidRPr="00DF55D4">
              <w:rPr>
                <w:rFonts w:ascii="Arial" w:eastAsia="Times New Roman" w:hAnsi="Arial" w:cs="Arial"/>
                <w:b/>
                <w:bCs/>
                <w:color w:val="0B769F" w:themeColor="accent4" w:themeShade="BF"/>
                <w:lang w:val="es-CO" w:eastAsia="es-ES"/>
              </w:rPr>
              <w:t>CONCEPTO</w:t>
            </w:r>
          </w:p>
        </w:tc>
        <w:tc>
          <w:tcPr>
            <w:tcW w:w="2466" w:type="dxa"/>
          </w:tcPr>
          <w:p w14:paraId="01E92C83" w14:textId="77777777" w:rsidR="00AE530B" w:rsidRPr="00DF55D4" w:rsidRDefault="00AE530B" w:rsidP="00DF55D4">
            <w:pPr>
              <w:spacing w:after="0"/>
              <w:contextualSpacing/>
              <w:jc w:val="center"/>
              <w:rPr>
                <w:rFonts w:ascii="Arial" w:eastAsia="Times New Roman" w:hAnsi="Arial" w:cs="Arial"/>
                <w:b/>
                <w:bCs/>
                <w:color w:val="0B769F" w:themeColor="accent4" w:themeShade="BF"/>
                <w:lang w:val="es-CO" w:eastAsia="es-ES"/>
              </w:rPr>
            </w:pPr>
            <w:r w:rsidRPr="00DF55D4">
              <w:rPr>
                <w:rFonts w:ascii="Arial" w:eastAsia="Times New Roman" w:hAnsi="Arial" w:cs="Arial"/>
                <w:b/>
                <w:bCs/>
                <w:color w:val="0B769F" w:themeColor="accent4" w:themeShade="BF"/>
                <w:lang w:val="es-CO" w:eastAsia="es-ES"/>
              </w:rPr>
              <w:t>CAPITAL</w:t>
            </w:r>
          </w:p>
        </w:tc>
        <w:tc>
          <w:tcPr>
            <w:tcW w:w="2160" w:type="dxa"/>
          </w:tcPr>
          <w:p w14:paraId="695D4ED1" w14:textId="77777777" w:rsidR="00AE530B" w:rsidRPr="00DF55D4" w:rsidRDefault="00AE530B" w:rsidP="00DF55D4">
            <w:pPr>
              <w:spacing w:after="0"/>
              <w:contextualSpacing/>
              <w:jc w:val="center"/>
              <w:rPr>
                <w:rFonts w:ascii="Arial" w:eastAsia="Times New Roman" w:hAnsi="Arial" w:cs="Arial"/>
                <w:b/>
                <w:bCs/>
                <w:color w:val="0B769F" w:themeColor="accent4" w:themeShade="BF"/>
                <w:lang w:val="es-CO" w:eastAsia="es-ES"/>
              </w:rPr>
            </w:pPr>
            <w:r w:rsidRPr="00DF55D4">
              <w:rPr>
                <w:rFonts w:ascii="Arial" w:eastAsia="Times New Roman" w:hAnsi="Arial" w:cs="Arial"/>
                <w:b/>
                <w:bCs/>
                <w:color w:val="0B769F" w:themeColor="accent4" w:themeShade="BF"/>
                <w:lang w:val="es-CO" w:eastAsia="es-ES"/>
              </w:rPr>
              <w:t>INTERESES</w:t>
            </w:r>
          </w:p>
        </w:tc>
      </w:tr>
      <w:tr w:rsidR="00F20719" w:rsidRPr="00DF55D4" w14:paraId="535ED4CC" w14:textId="77777777" w:rsidTr="00543714">
        <w:trPr>
          <w:jc w:val="center"/>
        </w:trPr>
        <w:tc>
          <w:tcPr>
            <w:tcW w:w="4259" w:type="dxa"/>
          </w:tcPr>
          <w:p w14:paraId="59616E81"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Valor inicial de la obligación </w:t>
            </w:r>
          </w:p>
        </w:tc>
        <w:tc>
          <w:tcPr>
            <w:tcW w:w="2466" w:type="dxa"/>
          </w:tcPr>
          <w:p w14:paraId="09D92B26" w14:textId="5736DD9D" w:rsidR="00AE530B" w:rsidRPr="00DF55D4" w:rsidRDefault="00AE530B" w:rsidP="00DF55D4">
            <w:pPr>
              <w:spacing w:after="0"/>
              <w:contextualSpacing/>
              <w:jc w:val="right"/>
              <w:rPr>
                <w:rFonts w:ascii="Arial" w:eastAsia="Times New Roman" w:hAnsi="Arial" w:cs="Arial"/>
                <w:color w:val="0B769F" w:themeColor="accent4" w:themeShade="BF"/>
                <w:lang w:val="es-CO" w:eastAsia="es-ES"/>
              </w:rPr>
            </w:pPr>
          </w:p>
        </w:tc>
        <w:tc>
          <w:tcPr>
            <w:tcW w:w="2160" w:type="dxa"/>
          </w:tcPr>
          <w:p w14:paraId="6B5913F0" w14:textId="77777777" w:rsidR="00AE530B" w:rsidRPr="00DF55D4" w:rsidRDefault="00AE530B" w:rsidP="00DF55D4">
            <w:pPr>
              <w:spacing w:after="0"/>
              <w:contextualSpacing/>
              <w:jc w:val="right"/>
              <w:rPr>
                <w:rFonts w:ascii="Arial" w:eastAsia="Times New Roman" w:hAnsi="Arial" w:cs="Arial"/>
                <w:color w:val="0B769F" w:themeColor="accent4" w:themeShade="BF"/>
                <w:lang w:val="es-CO" w:eastAsia="es-ES"/>
              </w:rPr>
            </w:pPr>
          </w:p>
        </w:tc>
      </w:tr>
      <w:tr w:rsidR="00F20719" w:rsidRPr="00DF55D4" w14:paraId="6DA87B0C" w14:textId="77777777" w:rsidTr="00543714">
        <w:trPr>
          <w:jc w:val="center"/>
        </w:trPr>
        <w:tc>
          <w:tcPr>
            <w:tcW w:w="4259" w:type="dxa"/>
          </w:tcPr>
          <w:p w14:paraId="781684A0"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Indexación del capital </w:t>
            </w:r>
          </w:p>
        </w:tc>
        <w:tc>
          <w:tcPr>
            <w:tcW w:w="2466" w:type="dxa"/>
          </w:tcPr>
          <w:p w14:paraId="12EAEB42" w14:textId="6EE0BEB4" w:rsidR="00AE530B" w:rsidRPr="00DF55D4" w:rsidRDefault="00AE530B" w:rsidP="00DF55D4">
            <w:pPr>
              <w:spacing w:after="0"/>
              <w:contextualSpacing/>
              <w:jc w:val="right"/>
              <w:rPr>
                <w:rFonts w:ascii="Arial" w:eastAsia="Times New Roman" w:hAnsi="Arial" w:cs="Arial"/>
                <w:color w:val="0B769F" w:themeColor="accent4" w:themeShade="BF"/>
                <w:lang w:val="es-CO" w:eastAsia="es-ES"/>
              </w:rPr>
            </w:pPr>
          </w:p>
        </w:tc>
        <w:tc>
          <w:tcPr>
            <w:tcW w:w="2160" w:type="dxa"/>
          </w:tcPr>
          <w:p w14:paraId="595003A3" w14:textId="77777777" w:rsidR="00AE530B" w:rsidRPr="00DF55D4" w:rsidRDefault="00AE530B" w:rsidP="00DF55D4">
            <w:pPr>
              <w:spacing w:after="0"/>
              <w:contextualSpacing/>
              <w:jc w:val="right"/>
              <w:rPr>
                <w:rFonts w:ascii="Arial" w:eastAsia="Times New Roman" w:hAnsi="Arial" w:cs="Arial"/>
                <w:color w:val="0B769F" w:themeColor="accent4" w:themeShade="BF"/>
                <w:lang w:val="es-CO" w:eastAsia="es-ES"/>
              </w:rPr>
            </w:pPr>
          </w:p>
        </w:tc>
      </w:tr>
      <w:tr w:rsidR="00F20719" w:rsidRPr="00DF55D4" w14:paraId="70CF97B0" w14:textId="77777777" w:rsidTr="00543714">
        <w:trPr>
          <w:jc w:val="center"/>
        </w:trPr>
        <w:tc>
          <w:tcPr>
            <w:tcW w:w="4259" w:type="dxa"/>
          </w:tcPr>
          <w:p w14:paraId="73857EB5"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 xml:space="preserve">Capital Indexado </w:t>
            </w:r>
          </w:p>
        </w:tc>
        <w:tc>
          <w:tcPr>
            <w:tcW w:w="2466" w:type="dxa"/>
          </w:tcPr>
          <w:p w14:paraId="635ACFA0" w14:textId="3F00E418" w:rsidR="00AE530B" w:rsidRPr="00DF55D4" w:rsidRDefault="00AE530B" w:rsidP="00DF55D4">
            <w:pPr>
              <w:spacing w:after="0"/>
              <w:contextualSpacing/>
              <w:jc w:val="right"/>
              <w:rPr>
                <w:rFonts w:ascii="Arial" w:eastAsia="Times New Roman" w:hAnsi="Arial" w:cs="Arial"/>
                <w:color w:val="0B769F" w:themeColor="accent4" w:themeShade="BF"/>
                <w:lang w:val="es-CO" w:eastAsia="es-ES"/>
              </w:rPr>
            </w:pPr>
          </w:p>
        </w:tc>
        <w:tc>
          <w:tcPr>
            <w:tcW w:w="2160" w:type="dxa"/>
          </w:tcPr>
          <w:p w14:paraId="2DDC204B" w14:textId="77777777" w:rsidR="00AE530B" w:rsidRPr="00DF55D4" w:rsidRDefault="00AE530B" w:rsidP="00DF55D4">
            <w:pPr>
              <w:spacing w:after="0"/>
              <w:contextualSpacing/>
              <w:jc w:val="right"/>
              <w:rPr>
                <w:rFonts w:ascii="Arial" w:eastAsia="Times New Roman" w:hAnsi="Arial" w:cs="Arial"/>
                <w:color w:val="0B769F" w:themeColor="accent4" w:themeShade="BF"/>
                <w:lang w:val="es-CO" w:eastAsia="es-ES"/>
              </w:rPr>
            </w:pPr>
          </w:p>
        </w:tc>
      </w:tr>
      <w:tr w:rsidR="00F20719" w:rsidRPr="00DF55D4" w14:paraId="5F588BF0" w14:textId="77777777" w:rsidTr="00543714">
        <w:trPr>
          <w:jc w:val="center"/>
        </w:trPr>
        <w:tc>
          <w:tcPr>
            <w:tcW w:w="4259" w:type="dxa"/>
            <w:shd w:val="clear" w:color="auto" w:fill="BFBFBF" w:themeFill="background1" w:themeFillShade="BF"/>
          </w:tcPr>
          <w:p w14:paraId="66FB2ED9"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Saldo obligación a 26/04/2019</w:t>
            </w:r>
          </w:p>
        </w:tc>
        <w:tc>
          <w:tcPr>
            <w:tcW w:w="2466" w:type="dxa"/>
            <w:shd w:val="clear" w:color="auto" w:fill="BFBFBF" w:themeFill="background1" w:themeFillShade="BF"/>
          </w:tcPr>
          <w:p w14:paraId="4D413B09" w14:textId="1DC6A559" w:rsidR="00AE530B" w:rsidRPr="00DF55D4" w:rsidRDefault="00AE530B" w:rsidP="00DF55D4">
            <w:pPr>
              <w:pStyle w:val="Prrafodelista"/>
              <w:spacing w:after="0"/>
              <w:ind w:left="0"/>
              <w:jc w:val="right"/>
              <w:rPr>
                <w:rFonts w:ascii="Arial" w:eastAsia="Times New Roman" w:hAnsi="Arial" w:cs="Arial"/>
                <w:color w:val="0B769F" w:themeColor="accent4" w:themeShade="BF"/>
                <w:lang w:val="es-CO" w:eastAsia="es-ES"/>
              </w:rPr>
            </w:pPr>
          </w:p>
        </w:tc>
        <w:tc>
          <w:tcPr>
            <w:tcW w:w="2160" w:type="dxa"/>
            <w:shd w:val="clear" w:color="auto" w:fill="BFBFBF" w:themeFill="background1" w:themeFillShade="BF"/>
          </w:tcPr>
          <w:p w14:paraId="5A8299F1" w14:textId="203B4B5B" w:rsidR="00AE530B" w:rsidRPr="00DF55D4" w:rsidRDefault="00AE530B" w:rsidP="00DF55D4">
            <w:pPr>
              <w:pStyle w:val="Prrafodelista"/>
              <w:spacing w:after="0"/>
              <w:ind w:left="0"/>
              <w:jc w:val="right"/>
              <w:rPr>
                <w:rFonts w:ascii="Arial" w:eastAsia="Times New Roman" w:hAnsi="Arial" w:cs="Arial"/>
                <w:color w:val="0B769F" w:themeColor="accent4" w:themeShade="BF"/>
                <w:lang w:val="es-CO" w:eastAsia="es-ES"/>
              </w:rPr>
            </w:pPr>
          </w:p>
        </w:tc>
      </w:tr>
      <w:tr w:rsidR="00F20719" w:rsidRPr="00DF55D4" w14:paraId="0ED61C21" w14:textId="77777777" w:rsidTr="00543714">
        <w:trPr>
          <w:jc w:val="center"/>
        </w:trPr>
        <w:tc>
          <w:tcPr>
            <w:tcW w:w="4259" w:type="dxa"/>
          </w:tcPr>
          <w:p w14:paraId="62FD6AC6"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r w:rsidRPr="00DF55D4">
              <w:rPr>
                <w:rFonts w:ascii="Arial" w:eastAsia="Times New Roman" w:hAnsi="Arial" w:cs="Arial"/>
                <w:color w:val="0B769F" w:themeColor="accent4" w:themeShade="BF"/>
                <w:lang w:val="es-CO" w:eastAsia="es-ES"/>
              </w:rPr>
              <w:t>Abono de 26/04/2019</w:t>
            </w:r>
          </w:p>
        </w:tc>
        <w:tc>
          <w:tcPr>
            <w:tcW w:w="2466" w:type="dxa"/>
          </w:tcPr>
          <w:p w14:paraId="2EF6200C" w14:textId="7566615E" w:rsidR="00AE530B" w:rsidRPr="00DF55D4" w:rsidRDefault="00AE530B" w:rsidP="00DF55D4">
            <w:pPr>
              <w:spacing w:after="0"/>
              <w:jc w:val="right"/>
              <w:rPr>
                <w:rFonts w:ascii="Arial" w:eastAsia="Times New Roman" w:hAnsi="Arial" w:cs="Arial"/>
                <w:color w:val="0B769F" w:themeColor="accent4" w:themeShade="BF"/>
                <w:lang w:val="es-CO" w:eastAsia="es-ES"/>
              </w:rPr>
            </w:pPr>
          </w:p>
        </w:tc>
        <w:tc>
          <w:tcPr>
            <w:tcW w:w="2160" w:type="dxa"/>
          </w:tcPr>
          <w:p w14:paraId="33383856" w14:textId="68C1FF27" w:rsidR="00AE530B" w:rsidRPr="00DF55D4" w:rsidRDefault="00AE530B" w:rsidP="00DF55D4">
            <w:pPr>
              <w:spacing w:after="0"/>
              <w:jc w:val="right"/>
              <w:rPr>
                <w:rFonts w:ascii="Arial" w:eastAsia="Times New Roman" w:hAnsi="Arial" w:cs="Arial"/>
                <w:color w:val="0B769F" w:themeColor="accent4" w:themeShade="BF"/>
                <w:lang w:val="es-CO" w:eastAsia="es-ES"/>
              </w:rPr>
            </w:pPr>
          </w:p>
        </w:tc>
      </w:tr>
      <w:tr w:rsidR="00F20719" w:rsidRPr="00DF55D4" w14:paraId="73C60C86" w14:textId="77777777" w:rsidTr="00543714">
        <w:trPr>
          <w:jc w:val="center"/>
        </w:trPr>
        <w:tc>
          <w:tcPr>
            <w:tcW w:w="4259" w:type="dxa"/>
          </w:tcPr>
          <w:p w14:paraId="4701CC25" w14:textId="77777777" w:rsidR="00AE530B" w:rsidRPr="00DF55D4" w:rsidRDefault="00AE530B" w:rsidP="00DF55D4">
            <w:pPr>
              <w:spacing w:after="0"/>
              <w:contextualSpacing/>
              <w:jc w:val="both"/>
              <w:rPr>
                <w:rFonts w:ascii="Arial" w:eastAsia="Times New Roman" w:hAnsi="Arial" w:cs="Arial"/>
                <w:b/>
                <w:bCs/>
                <w:color w:val="0B769F" w:themeColor="accent4" w:themeShade="BF"/>
                <w:lang w:val="es-CO" w:eastAsia="es-ES"/>
              </w:rPr>
            </w:pPr>
            <w:r w:rsidRPr="00DF55D4">
              <w:rPr>
                <w:rFonts w:ascii="Arial" w:eastAsia="Times New Roman" w:hAnsi="Arial" w:cs="Arial"/>
                <w:b/>
                <w:bCs/>
                <w:color w:val="0B769F" w:themeColor="accent4" w:themeShade="BF"/>
                <w:lang w:val="es-CO" w:eastAsia="es-ES"/>
              </w:rPr>
              <w:t>Saldo aplicado el abono a 26/04/2019</w:t>
            </w:r>
          </w:p>
        </w:tc>
        <w:tc>
          <w:tcPr>
            <w:tcW w:w="2466" w:type="dxa"/>
          </w:tcPr>
          <w:p w14:paraId="2B017D16" w14:textId="19D0057B" w:rsidR="00AE530B" w:rsidRPr="00DF55D4" w:rsidRDefault="00AE530B" w:rsidP="00DF55D4">
            <w:pPr>
              <w:spacing w:after="0"/>
              <w:contextualSpacing/>
              <w:jc w:val="right"/>
              <w:rPr>
                <w:rFonts w:ascii="Arial" w:eastAsia="Times New Roman" w:hAnsi="Arial" w:cs="Arial"/>
                <w:b/>
                <w:bCs/>
                <w:color w:val="0B769F" w:themeColor="accent4" w:themeShade="BF"/>
                <w:lang w:val="es-CO" w:eastAsia="es-ES"/>
              </w:rPr>
            </w:pPr>
          </w:p>
        </w:tc>
        <w:tc>
          <w:tcPr>
            <w:tcW w:w="2160" w:type="dxa"/>
          </w:tcPr>
          <w:p w14:paraId="73288011" w14:textId="73B24A0F" w:rsidR="00AE530B" w:rsidRPr="00DF55D4" w:rsidRDefault="00AE530B" w:rsidP="00DF55D4">
            <w:pPr>
              <w:spacing w:after="0"/>
              <w:contextualSpacing/>
              <w:jc w:val="right"/>
              <w:rPr>
                <w:rFonts w:ascii="Arial" w:eastAsia="Times New Roman" w:hAnsi="Arial" w:cs="Arial"/>
                <w:b/>
                <w:bCs/>
                <w:color w:val="0B769F" w:themeColor="accent4" w:themeShade="BF"/>
                <w:lang w:val="es-CO" w:eastAsia="es-ES"/>
              </w:rPr>
            </w:pPr>
          </w:p>
        </w:tc>
      </w:tr>
    </w:tbl>
    <w:p w14:paraId="0FDB76BB" w14:textId="77777777" w:rsidR="00AE530B" w:rsidRPr="00DF55D4" w:rsidRDefault="00AE530B" w:rsidP="00DF55D4">
      <w:pPr>
        <w:spacing w:after="0"/>
        <w:contextualSpacing/>
        <w:jc w:val="both"/>
        <w:rPr>
          <w:rFonts w:ascii="Arial" w:eastAsia="Times New Roman" w:hAnsi="Arial" w:cs="Arial"/>
          <w:color w:val="0B769F" w:themeColor="accent4" w:themeShade="BF"/>
          <w:lang w:val="es-CO" w:eastAsia="es-ES"/>
        </w:rPr>
      </w:pPr>
    </w:p>
    <w:p w14:paraId="716695C2" w14:textId="77777777" w:rsidR="00AE530B" w:rsidRPr="00DF55D4" w:rsidRDefault="00AE530B" w:rsidP="00DF55D4">
      <w:pPr>
        <w:spacing w:after="0"/>
        <w:contextualSpacing/>
        <w:jc w:val="both"/>
        <w:rPr>
          <w:rFonts w:ascii="Arial" w:eastAsia="Times New Roman" w:hAnsi="Arial" w:cs="Arial"/>
          <w:lang w:val="es-CO" w:eastAsia="es-ES"/>
        </w:rPr>
      </w:pPr>
      <w:r w:rsidRPr="00DF55D4">
        <w:rPr>
          <w:rFonts w:ascii="Arial" w:eastAsia="Times New Roman" w:hAnsi="Arial" w:cs="Arial"/>
          <w:color w:val="0B769F" w:themeColor="accent4" w:themeShade="BF"/>
          <w:lang w:val="es-CO" w:eastAsia="es-ES"/>
        </w:rPr>
        <w:t>Como se puede observar el valor determinado en el mandamiento de pago, hace referencia al capital indexado de la obligación, a la cual se le debe sumar los intereses moratorios generados por cada día en el retardo del pago hasta la cancelación total de la deuda</w:t>
      </w:r>
      <w:r w:rsidRPr="00DF55D4">
        <w:rPr>
          <w:rFonts w:ascii="Arial" w:eastAsia="Times New Roman" w:hAnsi="Arial" w:cs="Arial"/>
          <w:lang w:val="es-CO" w:eastAsia="es-ES"/>
        </w:rPr>
        <w:t xml:space="preserve">.  </w:t>
      </w:r>
    </w:p>
    <w:p w14:paraId="078C2BAA" w14:textId="77777777" w:rsidR="00AE530B" w:rsidRPr="00DF55D4" w:rsidRDefault="00AE530B" w:rsidP="00DF55D4">
      <w:pPr>
        <w:spacing w:after="0"/>
        <w:contextualSpacing/>
        <w:jc w:val="both"/>
        <w:rPr>
          <w:rFonts w:ascii="Arial" w:eastAsia="Times New Roman" w:hAnsi="Arial" w:cs="Arial"/>
          <w:lang w:val="es-CO" w:eastAsia="es-ES"/>
        </w:rPr>
      </w:pPr>
    </w:p>
    <w:p w14:paraId="2773D9B9" w14:textId="77777777" w:rsidR="00AE530B" w:rsidRPr="00DF55D4" w:rsidRDefault="00AE530B" w:rsidP="00DF55D4">
      <w:pPr>
        <w:pStyle w:val="Prrafodelista"/>
        <w:numPr>
          <w:ilvl w:val="0"/>
          <w:numId w:val="1"/>
        </w:numPr>
        <w:tabs>
          <w:tab w:val="left" w:pos="284"/>
        </w:tabs>
        <w:spacing w:after="0"/>
        <w:ind w:left="0" w:firstLine="0"/>
        <w:jc w:val="both"/>
        <w:rPr>
          <w:rFonts w:ascii="Arial" w:hAnsi="Arial" w:cs="Arial"/>
          <w:b/>
          <w:bCs/>
        </w:rPr>
      </w:pPr>
      <w:r w:rsidRPr="00DF55D4">
        <w:rPr>
          <w:rFonts w:ascii="Arial" w:hAnsi="Arial" w:cs="Arial"/>
          <w:b/>
          <w:bCs/>
        </w:rPr>
        <w:t xml:space="preserve">CONCLUSIÓN </w:t>
      </w:r>
    </w:p>
    <w:p w14:paraId="22745431" w14:textId="77777777" w:rsidR="00AE530B" w:rsidRPr="00DF55D4" w:rsidRDefault="00AE530B" w:rsidP="00DF55D4">
      <w:pPr>
        <w:spacing w:after="0"/>
        <w:contextualSpacing/>
        <w:jc w:val="both"/>
        <w:rPr>
          <w:rFonts w:ascii="Arial" w:hAnsi="Arial" w:cs="Arial"/>
        </w:rPr>
      </w:pPr>
    </w:p>
    <w:p w14:paraId="63CEA84D" w14:textId="0FABAB80" w:rsidR="00AE530B" w:rsidRPr="00DF55D4" w:rsidRDefault="00AE530B" w:rsidP="00DF55D4">
      <w:pPr>
        <w:pStyle w:val="Textoindependiente"/>
        <w:tabs>
          <w:tab w:val="left" w:pos="9214"/>
        </w:tabs>
        <w:spacing w:line="276" w:lineRule="auto"/>
        <w:rPr>
          <w:rFonts w:eastAsia="Calibri" w:cs="Arial"/>
          <w:color w:val="0B769F" w:themeColor="accent4" w:themeShade="BF"/>
          <w:sz w:val="22"/>
          <w:szCs w:val="22"/>
          <w:lang w:val="es-ES" w:eastAsia="en-US"/>
        </w:rPr>
      </w:pPr>
      <w:r w:rsidRPr="00DF55D4">
        <w:rPr>
          <w:rFonts w:eastAsia="Calibri" w:cs="Arial"/>
          <w:color w:val="0B769F" w:themeColor="accent4" w:themeShade="BF"/>
          <w:sz w:val="22"/>
          <w:szCs w:val="22"/>
          <w:lang w:val="es-ES" w:eastAsia="en-US"/>
        </w:rPr>
        <w:t xml:space="preserve">De acuerdo con lo expuesto, este Despacho destaca que el Acta de Liquidación del Convenio Interadministrativo No. </w:t>
      </w:r>
      <w:proofErr w:type="spellStart"/>
      <w:r w:rsidR="00DF55D4" w:rsidRPr="00DF55D4">
        <w:rPr>
          <w:rFonts w:cs="Arial"/>
          <w:color w:val="0B769F" w:themeColor="accent4" w:themeShade="BF"/>
          <w:sz w:val="22"/>
          <w:szCs w:val="22"/>
          <w:highlight w:val="yellow"/>
          <w:lang w:val="es-CO"/>
        </w:rPr>
        <w:t>xxxx</w:t>
      </w:r>
      <w:proofErr w:type="spellEnd"/>
      <w:r w:rsidRPr="00DF55D4">
        <w:rPr>
          <w:rFonts w:eastAsia="Calibri" w:cs="Arial"/>
          <w:color w:val="0B769F" w:themeColor="accent4" w:themeShade="BF"/>
          <w:sz w:val="22"/>
          <w:szCs w:val="22"/>
          <w:lang w:val="es-ES" w:eastAsia="en-US"/>
        </w:rPr>
        <w:t xml:space="preserve">, constituye título ejecutivo suficiente para iniciar el procedimiento administrativo de cobro coactivo, toda vez que dicha acta corresponde a una liquidación por mutuo acuerdo, suscrita por las partes, en los términos establecidos por el artículo 60 de la Ley 80 de 1993, que dispone la obligación de liquidar los contratos de tracto sucesivo, lo cual no va en contra del acuerdo de voluntades de las partes, de dar por terminado el citado negocio jurídico.   </w:t>
      </w:r>
    </w:p>
    <w:p w14:paraId="0A1B7D46" w14:textId="77777777" w:rsidR="00AE530B" w:rsidRPr="00DF55D4" w:rsidRDefault="00AE530B" w:rsidP="00DF55D4">
      <w:pPr>
        <w:spacing w:after="0"/>
        <w:contextualSpacing/>
        <w:jc w:val="both"/>
        <w:rPr>
          <w:rFonts w:ascii="Arial" w:hAnsi="Arial" w:cs="Arial"/>
        </w:rPr>
      </w:pPr>
    </w:p>
    <w:p w14:paraId="5BA19E1A" w14:textId="77777777" w:rsidR="00AE530B" w:rsidRPr="00DF55D4" w:rsidRDefault="00AE530B" w:rsidP="00DF55D4">
      <w:pPr>
        <w:spacing w:after="0"/>
        <w:contextualSpacing/>
        <w:jc w:val="both"/>
        <w:rPr>
          <w:rFonts w:ascii="Arial" w:hAnsi="Arial" w:cs="Arial"/>
        </w:rPr>
      </w:pPr>
      <w:r w:rsidRPr="00DF55D4">
        <w:rPr>
          <w:rFonts w:ascii="Arial" w:hAnsi="Arial" w:cs="Arial"/>
        </w:rPr>
        <w:t>En mérito de lo expuesto el Funcionario Ejecutor de la Sede de la Dirección General del Instituto Colombiano de Bienestar Familiar,</w:t>
      </w:r>
    </w:p>
    <w:p w14:paraId="623B23B6" w14:textId="77777777" w:rsidR="00AE530B" w:rsidRPr="00DF55D4" w:rsidRDefault="00AE530B" w:rsidP="00DF55D4">
      <w:pPr>
        <w:spacing w:after="0"/>
        <w:contextualSpacing/>
        <w:jc w:val="both"/>
        <w:rPr>
          <w:rFonts w:ascii="Arial" w:hAnsi="Arial" w:cs="Arial"/>
        </w:rPr>
      </w:pPr>
    </w:p>
    <w:p w14:paraId="11D5D5E9" w14:textId="77777777" w:rsidR="00AE530B" w:rsidRPr="00DF55D4" w:rsidRDefault="00AE530B" w:rsidP="00DF55D4">
      <w:pPr>
        <w:pStyle w:val="Textoindependiente"/>
        <w:spacing w:line="276" w:lineRule="auto"/>
        <w:contextualSpacing/>
        <w:jc w:val="center"/>
        <w:rPr>
          <w:rFonts w:cs="Arial"/>
          <w:b/>
          <w:sz w:val="22"/>
          <w:szCs w:val="22"/>
        </w:rPr>
      </w:pPr>
      <w:r w:rsidRPr="00DF55D4">
        <w:rPr>
          <w:rFonts w:cs="Arial"/>
          <w:b/>
          <w:sz w:val="22"/>
          <w:szCs w:val="22"/>
        </w:rPr>
        <w:t>RESUELVE</w:t>
      </w:r>
    </w:p>
    <w:p w14:paraId="537C087C" w14:textId="77777777" w:rsidR="00AE530B" w:rsidRPr="00DF55D4" w:rsidRDefault="00AE530B" w:rsidP="00DF55D4">
      <w:pPr>
        <w:pStyle w:val="Textoindependiente"/>
        <w:spacing w:line="276" w:lineRule="auto"/>
        <w:contextualSpacing/>
        <w:rPr>
          <w:rFonts w:cs="Arial"/>
          <w:b/>
          <w:sz w:val="22"/>
          <w:szCs w:val="22"/>
        </w:rPr>
      </w:pPr>
    </w:p>
    <w:p w14:paraId="585E69C4" w14:textId="655DF967" w:rsidR="00AE530B" w:rsidRPr="00DF55D4" w:rsidRDefault="00DF55D4" w:rsidP="00DF55D4">
      <w:pPr>
        <w:pStyle w:val="Textoindependiente"/>
        <w:snapToGrid w:val="0"/>
        <w:spacing w:line="276" w:lineRule="auto"/>
        <w:contextualSpacing/>
        <w:rPr>
          <w:rFonts w:cs="Arial"/>
          <w:sz w:val="22"/>
          <w:szCs w:val="22"/>
        </w:rPr>
      </w:pPr>
      <w:r w:rsidRPr="00DF55D4">
        <w:rPr>
          <w:rFonts w:cs="Arial"/>
          <w:b/>
          <w:sz w:val="22"/>
          <w:szCs w:val="22"/>
        </w:rPr>
        <w:t xml:space="preserve">ARTÍCULO </w:t>
      </w:r>
      <w:r w:rsidR="00AE530B" w:rsidRPr="00DF55D4">
        <w:rPr>
          <w:rFonts w:cs="Arial"/>
          <w:b/>
          <w:sz w:val="22"/>
          <w:szCs w:val="22"/>
        </w:rPr>
        <w:t xml:space="preserve">PRIMERO: RECONOCER PERSONERÍA </w:t>
      </w:r>
      <w:r w:rsidR="00AE530B" w:rsidRPr="00DF55D4">
        <w:rPr>
          <w:rFonts w:cs="Arial"/>
          <w:sz w:val="22"/>
          <w:szCs w:val="22"/>
        </w:rPr>
        <w:t>para actuar dentro del presente proceso, al abogado</w:t>
      </w:r>
      <w:r w:rsidRPr="00DF55D4">
        <w:rPr>
          <w:rFonts w:cs="Arial"/>
          <w:sz w:val="22"/>
          <w:szCs w:val="22"/>
        </w:rPr>
        <w:t xml:space="preserve"> </w:t>
      </w:r>
      <w:proofErr w:type="spellStart"/>
      <w:r w:rsidRPr="00DF55D4">
        <w:rPr>
          <w:rFonts w:cs="Arial"/>
          <w:sz w:val="22"/>
          <w:szCs w:val="22"/>
          <w:highlight w:val="yellow"/>
        </w:rPr>
        <w:t>xxxx</w:t>
      </w:r>
      <w:proofErr w:type="spellEnd"/>
      <w:r w:rsidR="00AE530B" w:rsidRPr="00DF55D4">
        <w:rPr>
          <w:rFonts w:cs="Arial"/>
          <w:sz w:val="22"/>
          <w:szCs w:val="22"/>
        </w:rPr>
        <w:t>, identificado con cédula de ciudadanía No.</w:t>
      </w:r>
      <w:r w:rsidRPr="00DF55D4">
        <w:rPr>
          <w:rFonts w:cs="Arial"/>
          <w:sz w:val="22"/>
          <w:szCs w:val="22"/>
          <w:highlight w:val="yellow"/>
        </w:rPr>
        <w:t xml:space="preserve"> </w:t>
      </w:r>
      <w:proofErr w:type="spellStart"/>
      <w:r w:rsidRPr="00DF55D4">
        <w:rPr>
          <w:rFonts w:cs="Arial"/>
          <w:sz w:val="22"/>
          <w:szCs w:val="22"/>
          <w:highlight w:val="yellow"/>
        </w:rPr>
        <w:t>xxxx</w:t>
      </w:r>
      <w:proofErr w:type="spellEnd"/>
      <w:r w:rsidRPr="00DF55D4">
        <w:rPr>
          <w:rFonts w:cs="Arial"/>
          <w:sz w:val="22"/>
          <w:szCs w:val="22"/>
        </w:rPr>
        <w:t xml:space="preserve"> </w:t>
      </w:r>
      <w:r w:rsidR="00AE530B" w:rsidRPr="00DF55D4">
        <w:rPr>
          <w:rFonts w:cs="Arial"/>
          <w:sz w:val="22"/>
          <w:szCs w:val="22"/>
        </w:rPr>
        <w:t xml:space="preserve">y tarjeta profesional No. </w:t>
      </w:r>
      <w:proofErr w:type="spellStart"/>
      <w:r w:rsidRPr="00DF55D4">
        <w:rPr>
          <w:rFonts w:cs="Arial"/>
          <w:sz w:val="22"/>
          <w:szCs w:val="22"/>
          <w:highlight w:val="yellow"/>
        </w:rPr>
        <w:t>xxxx</w:t>
      </w:r>
      <w:proofErr w:type="spellEnd"/>
      <w:r w:rsidRPr="00DF55D4">
        <w:rPr>
          <w:rFonts w:cs="Arial"/>
          <w:sz w:val="22"/>
          <w:szCs w:val="22"/>
        </w:rPr>
        <w:t xml:space="preserve"> </w:t>
      </w:r>
      <w:r w:rsidR="00AE530B" w:rsidRPr="00DF55D4">
        <w:rPr>
          <w:rFonts w:cs="Arial"/>
          <w:sz w:val="22"/>
          <w:szCs w:val="22"/>
        </w:rPr>
        <w:t xml:space="preserve">del C.S.J., como apoderado del </w:t>
      </w:r>
      <w:r w:rsidRPr="00DF55D4">
        <w:rPr>
          <w:rFonts w:cs="Arial"/>
          <w:sz w:val="22"/>
          <w:szCs w:val="22"/>
          <w:highlight w:val="yellow"/>
        </w:rPr>
        <w:t>(DEUDOR</w:t>
      </w:r>
      <w:r>
        <w:rPr>
          <w:rFonts w:cs="Arial"/>
          <w:sz w:val="22"/>
          <w:szCs w:val="22"/>
        </w:rPr>
        <w:t>)</w:t>
      </w:r>
      <w:r w:rsidRPr="00DF55D4">
        <w:rPr>
          <w:rFonts w:cs="Arial"/>
          <w:sz w:val="22"/>
          <w:szCs w:val="22"/>
        </w:rPr>
        <w:t xml:space="preserve"> </w:t>
      </w:r>
      <w:r w:rsidR="00AE530B" w:rsidRPr="00DF55D4">
        <w:rPr>
          <w:rFonts w:cs="Arial"/>
          <w:sz w:val="22"/>
          <w:szCs w:val="22"/>
        </w:rPr>
        <w:t xml:space="preserve">identificado con </w:t>
      </w:r>
      <w:proofErr w:type="spellStart"/>
      <w:r w:rsidRPr="00DF55D4">
        <w:rPr>
          <w:rFonts w:cs="Arial"/>
          <w:b/>
          <w:sz w:val="22"/>
          <w:szCs w:val="22"/>
          <w:highlight w:val="yellow"/>
          <w:lang w:val="es-CO"/>
        </w:rPr>
        <w:t>xxxx</w:t>
      </w:r>
      <w:proofErr w:type="spellEnd"/>
      <w:r w:rsidR="00AE530B" w:rsidRPr="00DF55D4">
        <w:rPr>
          <w:rFonts w:cs="Arial"/>
          <w:sz w:val="22"/>
          <w:szCs w:val="22"/>
        </w:rPr>
        <w:t>, en los términos del poder a él conferido.</w:t>
      </w:r>
    </w:p>
    <w:p w14:paraId="390C738C" w14:textId="77777777" w:rsidR="00AE530B" w:rsidRPr="00DF55D4" w:rsidRDefault="00AE530B" w:rsidP="00DF55D4">
      <w:pPr>
        <w:pStyle w:val="Sinespaciado"/>
        <w:spacing w:line="276" w:lineRule="auto"/>
        <w:contextualSpacing/>
        <w:jc w:val="both"/>
        <w:rPr>
          <w:rFonts w:ascii="Arial" w:hAnsi="Arial" w:cs="Arial"/>
          <w:b/>
        </w:rPr>
      </w:pPr>
    </w:p>
    <w:p w14:paraId="2DB9988E" w14:textId="7697EC8D" w:rsidR="00AE530B" w:rsidRPr="00DF55D4" w:rsidRDefault="00DF55D4" w:rsidP="00DF55D4">
      <w:pPr>
        <w:pStyle w:val="Sinespaciado"/>
        <w:spacing w:line="276" w:lineRule="auto"/>
        <w:contextualSpacing/>
        <w:jc w:val="both"/>
        <w:rPr>
          <w:rFonts w:ascii="Arial" w:hAnsi="Arial" w:cs="Arial"/>
        </w:rPr>
      </w:pPr>
      <w:bookmarkStart w:id="1" w:name="_Hlk180323027"/>
      <w:r w:rsidRPr="00DF55D4">
        <w:rPr>
          <w:rFonts w:ascii="Arial" w:hAnsi="Arial" w:cs="Arial"/>
          <w:b/>
        </w:rPr>
        <w:t>ARTÍCULO</w:t>
      </w:r>
      <w:bookmarkEnd w:id="1"/>
      <w:r w:rsidRPr="00DF55D4">
        <w:rPr>
          <w:rFonts w:ascii="Arial" w:hAnsi="Arial" w:cs="Arial"/>
          <w:b/>
        </w:rPr>
        <w:t xml:space="preserve"> </w:t>
      </w:r>
      <w:r w:rsidR="00AE530B" w:rsidRPr="00DF55D4">
        <w:rPr>
          <w:rFonts w:ascii="Arial" w:hAnsi="Arial" w:cs="Arial"/>
          <w:b/>
        </w:rPr>
        <w:t xml:space="preserve">SEGUNDO: DECLARAR NO PROBADA LA EXCEPCIÓN </w:t>
      </w:r>
      <w:r w:rsidR="00AE530B" w:rsidRPr="00DF55D4">
        <w:rPr>
          <w:rFonts w:ascii="Arial" w:hAnsi="Arial" w:cs="Arial"/>
          <w:bCs/>
        </w:rPr>
        <w:t>de falta de título ejecutivo,</w:t>
      </w:r>
      <w:r w:rsidR="00AE530B" w:rsidRPr="00DF55D4">
        <w:rPr>
          <w:rFonts w:ascii="Arial" w:hAnsi="Arial" w:cs="Arial"/>
        </w:rPr>
        <w:t xml:space="preserve"> formulada en </w:t>
      </w:r>
      <w:r w:rsidR="00AE530B" w:rsidRPr="00DF55D4">
        <w:rPr>
          <w:rFonts w:ascii="Arial" w:eastAsia="Times New Roman" w:hAnsi="Arial" w:cs="Arial"/>
          <w:lang w:val="es-CO" w:eastAsia="es-ES"/>
        </w:rPr>
        <w:t xml:space="preserve">escrito de excepciones con </w:t>
      </w:r>
      <w:r w:rsidR="00AE530B" w:rsidRPr="00DF55D4">
        <w:rPr>
          <w:rFonts w:ascii="Arial" w:hAnsi="Arial" w:cs="Arial"/>
        </w:rPr>
        <w:t xml:space="preserve">radicado </w:t>
      </w:r>
      <w:r w:rsidR="00AE530B" w:rsidRPr="00DF55D4">
        <w:rPr>
          <w:rFonts w:ascii="Arial" w:eastAsia="Times New Roman" w:hAnsi="Arial" w:cs="Arial"/>
          <w:lang w:val="es-CO" w:eastAsia="es-ES"/>
        </w:rPr>
        <w:t xml:space="preserve">No. </w:t>
      </w:r>
      <w:proofErr w:type="spellStart"/>
      <w:r w:rsidRPr="00DF55D4">
        <w:rPr>
          <w:rFonts w:ascii="Arial" w:eastAsia="Times New Roman" w:hAnsi="Arial" w:cs="Arial"/>
          <w:highlight w:val="yellow"/>
          <w:lang w:val="es-CO" w:eastAsia="es-ES"/>
        </w:rPr>
        <w:t>xxxx</w:t>
      </w:r>
      <w:proofErr w:type="spellEnd"/>
      <w:r w:rsidR="00AE530B" w:rsidRPr="00DF55D4">
        <w:rPr>
          <w:rFonts w:ascii="Arial" w:eastAsia="Times New Roman" w:hAnsi="Arial" w:cs="Arial"/>
          <w:lang w:val="es-CO" w:eastAsia="es-ES"/>
        </w:rPr>
        <w:t xml:space="preserve"> de </w:t>
      </w:r>
      <w:r w:rsidRPr="00DF55D4">
        <w:rPr>
          <w:rFonts w:ascii="Arial" w:eastAsia="Times New Roman" w:hAnsi="Arial" w:cs="Arial"/>
          <w:highlight w:val="yellow"/>
          <w:lang w:val="es-CO" w:eastAsia="es-ES"/>
        </w:rPr>
        <w:t>(fecha)</w:t>
      </w:r>
      <w:r w:rsidR="00AE530B" w:rsidRPr="00DF55D4">
        <w:rPr>
          <w:rFonts w:ascii="Arial" w:eastAsia="Times New Roman" w:hAnsi="Arial" w:cs="Arial"/>
          <w:lang w:val="es-CO" w:eastAsia="es-ES"/>
        </w:rPr>
        <w:t>, contra</w:t>
      </w:r>
      <w:r w:rsidR="00AE530B" w:rsidRPr="00DF55D4">
        <w:rPr>
          <w:rFonts w:ascii="Arial" w:hAnsi="Arial" w:cs="Arial"/>
        </w:rPr>
        <w:t xml:space="preserve"> el mandamiento de pago contenido en la Resolución </w:t>
      </w:r>
      <w:r w:rsidRPr="00DF55D4">
        <w:rPr>
          <w:rFonts w:ascii="Arial" w:hAnsi="Arial" w:cs="Arial"/>
          <w:highlight w:val="yellow"/>
        </w:rPr>
        <w:t>(número y fecha)</w:t>
      </w:r>
      <w:r w:rsidR="00AE530B" w:rsidRPr="00DF55D4">
        <w:rPr>
          <w:rFonts w:ascii="Arial" w:hAnsi="Arial" w:cs="Arial"/>
          <w:highlight w:val="yellow"/>
        </w:rPr>
        <w:t>,</w:t>
      </w:r>
      <w:r w:rsidR="00AE530B" w:rsidRPr="00DF55D4">
        <w:rPr>
          <w:rFonts w:ascii="Arial" w:hAnsi="Arial" w:cs="Arial"/>
        </w:rPr>
        <w:t xml:space="preserve"> por las razones expuestas en la parte motiva de esta providencia.</w:t>
      </w:r>
    </w:p>
    <w:p w14:paraId="441E3922" w14:textId="77777777" w:rsidR="00AE530B" w:rsidRPr="00DF55D4" w:rsidRDefault="00AE530B" w:rsidP="00DF55D4">
      <w:pPr>
        <w:pStyle w:val="Sinespaciado"/>
        <w:spacing w:line="276" w:lineRule="auto"/>
        <w:contextualSpacing/>
        <w:jc w:val="both"/>
        <w:rPr>
          <w:rFonts w:ascii="Arial" w:hAnsi="Arial" w:cs="Arial"/>
        </w:rPr>
      </w:pPr>
    </w:p>
    <w:p w14:paraId="56829402" w14:textId="45158361" w:rsidR="00AE530B" w:rsidRPr="00DF55D4" w:rsidRDefault="00DF55D4" w:rsidP="00DF55D4">
      <w:pPr>
        <w:pStyle w:val="Sinespaciado"/>
        <w:spacing w:line="276" w:lineRule="auto"/>
        <w:contextualSpacing/>
        <w:jc w:val="both"/>
        <w:rPr>
          <w:rFonts w:ascii="Arial" w:hAnsi="Arial" w:cs="Arial"/>
        </w:rPr>
      </w:pPr>
      <w:r w:rsidRPr="00DF55D4">
        <w:rPr>
          <w:rFonts w:ascii="Arial" w:hAnsi="Arial" w:cs="Arial"/>
          <w:b/>
        </w:rPr>
        <w:lastRenderedPageBreak/>
        <w:t xml:space="preserve">ARTÍCULO </w:t>
      </w:r>
      <w:r w:rsidR="00AE530B" w:rsidRPr="00DF55D4">
        <w:rPr>
          <w:rFonts w:ascii="Arial" w:hAnsi="Arial" w:cs="Arial"/>
          <w:b/>
        </w:rPr>
        <w:t>TERCERO:</w:t>
      </w:r>
      <w:r w:rsidR="00AE530B" w:rsidRPr="00DF55D4">
        <w:rPr>
          <w:rFonts w:ascii="Arial" w:hAnsi="Arial" w:cs="Arial"/>
        </w:rPr>
        <w:t xml:space="preserve"> </w:t>
      </w:r>
      <w:r w:rsidR="00AE530B" w:rsidRPr="00DF55D4">
        <w:rPr>
          <w:rFonts w:ascii="Arial" w:hAnsi="Arial" w:cs="Arial"/>
          <w:b/>
          <w:bCs/>
        </w:rPr>
        <w:t>RECHAZAR</w:t>
      </w:r>
      <w:r w:rsidR="00AE530B" w:rsidRPr="00DF55D4">
        <w:rPr>
          <w:rFonts w:ascii="Arial" w:hAnsi="Arial" w:cs="Arial"/>
        </w:rPr>
        <w:t xml:space="preserve"> la excepción de </w:t>
      </w:r>
      <w:r w:rsidR="00AE530B" w:rsidRPr="00DF55D4">
        <w:rPr>
          <w:rFonts w:ascii="Arial" w:eastAsia="Times New Roman" w:hAnsi="Arial" w:cs="Arial"/>
          <w:lang w:val="es-CO" w:eastAsia="es-ES"/>
        </w:rPr>
        <w:t xml:space="preserve">falta de jurisdicción o competencia, expuesta en el escrito con radicado </w:t>
      </w:r>
      <w:r w:rsidR="00AE530B" w:rsidRPr="00DF55D4">
        <w:rPr>
          <w:rFonts w:ascii="Arial" w:hAnsi="Arial" w:cs="Arial"/>
        </w:rPr>
        <w:t xml:space="preserve">No. </w:t>
      </w:r>
      <w:proofErr w:type="spellStart"/>
      <w:r w:rsidRPr="00DF55D4">
        <w:rPr>
          <w:rFonts w:ascii="Arial" w:eastAsia="Times New Roman" w:hAnsi="Arial" w:cs="Arial"/>
          <w:highlight w:val="yellow"/>
          <w:lang w:val="es-CO" w:eastAsia="es-ES"/>
        </w:rPr>
        <w:t>Xxxx</w:t>
      </w:r>
      <w:proofErr w:type="spellEnd"/>
      <w:r>
        <w:rPr>
          <w:rFonts w:ascii="Arial" w:eastAsia="Times New Roman" w:hAnsi="Arial" w:cs="Arial"/>
          <w:lang w:val="es-CO" w:eastAsia="es-ES"/>
        </w:rPr>
        <w:t xml:space="preserve"> </w:t>
      </w:r>
      <w:r w:rsidR="00AE530B" w:rsidRPr="00DF55D4">
        <w:rPr>
          <w:rFonts w:ascii="Arial" w:eastAsia="Times New Roman" w:hAnsi="Arial" w:cs="Arial"/>
          <w:lang w:val="es-CO" w:eastAsia="es-ES"/>
        </w:rPr>
        <w:t xml:space="preserve">de </w:t>
      </w:r>
      <w:r w:rsidRPr="00DF55D4">
        <w:rPr>
          <w:rFonts w:ascii="Arial" w:eastAsia="Times New Roman" w:hAnsi="Arial" w:cs="Arial"/>
          <w:highlight w:val="yellow"/>
          <w:lang w:val="es-CO" w:eastAsia="es-ES"/>
        </w:rPr>
        <w:t>(</w:t>
      </w:r>
      <w:r w:rsidR="00AE530B" w:rsidRPr="00DF55D4">
        <w:rPr>
          <w:rFonts w:ascii="Arial" w:eastAsia="Times New Roman" w:hAnsi="Arial" w:cs="Arial"/>
          <w:highlight w:val="yellow"/>
          <w:lang w:val="es-CO" w:eastAsia="es-ES"/>
        </w:rPr>
        <w:t>fecha</w:t>
      </w:r>
      <w:r w:rsidRPr="00DF55D4">
        <w:rPr>
          <w:rFonts w:ascii="Arial" w:eastAsia="Times New Roman" w:hAnsi="Arial" w:cs="Arial"/>
          <w:highlight w:val="yellow"/>
          <w:lang w:val="es-CO" w:eastAsia="es-ES"/>
        </w:rPr>
        <w:t>)</w:t>
      </w:r>
      <w:r w:rsidR="00AE530B" w:rsidRPr="00DF55D4">
        <w:rPr>
          <w:rFonts w:ascii="Arial" w:eastAsia="Times New Roman" w:hAnsi="Arial" w:cs="Arial"/>
          <w:lang w:val="es-CO" w:eastAsia="es-ES"/>
        </w:rPr>
        <w:t xml:space="preserve">, por ser improcedente. </w:t>
      </w:r>
    </w:p>
    <w:p w14:paraId="6A74F594" w14:textId="77777777" w:rsidR="00AE530B" w:rsidRPr="00DF55D4" w:rsidRDefault="00AE530B" w:rsidP="00DF55D4">
      <w:pPr>
        <w:pStyle w:val="Sinespaciado"/>
        <w:spacing w:line="276" w:lineRule="auto"/>
        <w:contextualSpacing/>
        <w:jc w:val="both"/>
        <w:rPr>
          <w:rFonts w:ascii="Arial" w:hAnsi="Arial" w:cs="Arial"/>
        </w:rPr>
      </w:pPr>
    </w:p>
    <w:p w14:paraId="23FE1B57" w14:textId="6EC58EF3" w:rsidR="00AE530B" w:rsidRPr="00DF55D4" w:rsidRDefault="00DF55D4" w:rsidP="00DF55D4">
      <w:pPr>
        <w:pStyle w:val="Sinespaciado"/>
        <w:spacing w:line="276" w:lineRule="auto"/>
        <w:contextualSpacing/>
        <w:jc w:val="both"/>
        <w:rPr>
          <w:rFonts w:ascii="Arial" w:hAnsi="Arial" w:cs="Arial"/>
        </w:rPr>
      </w:pPr>
      <w:r w:rsidRPr="00DF55D4">
        <w:rPr>
          <w:rFonts w:ascii="Arial" w:hAnsi="Arial" w:cs="Arial"/>
          <w:b/>
        </w:rPr>
        <w:t xml:space="preserve">ARTÍCULO </w:t>
      </w:r>
      <w:r w:rsidR="00AE530B" w:rsidRPr="00DF55D4">
        <w:rPr>
          <w:rFonts w:ascii="Arial" w:hAnsi="Arial" w:cs="Arial"/>
          <w:b/>
        </w:rPr>
        <w:t xml:space="preserve">CUARTO: SEGUIR </w:t>
      </w:r>
      <w:r w:rsidR="00AE530B" w:rsidRPr="00DF55D4">
        <w:rPr>
          <w:rFonts w:ascii="Arial" w:hAnsi="Arial" w:cs="Arial"/>
        </w:rPr>
        <w:t xml:space="preserve">adelante la ejecución en contra del </w:t>
      </w:r>
      <w:r w:rsidRPr="00DF55D4">
        <w:rPr>
          <w:rFonts w:ascii="Arial" w:hAnsi="Arial" w:cs="Arial"/>
          <w:highlight w:val="yellow"/>
        </w:rPr>
        <w:t>(DEUDOR</w:t>
      </w:r>
      <w:r>
        <w:rPr>
          <w:rFonts w:cs="Arial"/>
        </w:rPr>
        <w:t>)</w:t>
      </w:r>
      <w:r w:rsidRPr="00DF55D4">
        <w:rPr>
          <w:rFonts w:ascii="Arial" w:hAnsi="Arial" w:cs="Arial"/>
        </w:rPr>
        <w:t xml:space="preserve"> identificado con </w:t>
      </w:r>
      <w:proofErr w:type="spellStart"/>
      <w:r w:rsidRPr="00DF55D4">
        <w:rPr>
          <w:rFonts w:ascii="Arial" w:hAnsi="Arial" w:cs="Arial"/>
          <w:b/>
          <w:highlight w:val="yellow"/>
          <w:lang w:val="es-CO"/>
        </w:rPr>
        <w:t>xxxx</w:t>
      </w:r>
      <w:proofErr w:type="spellEnd"/>
      <w:r w:rsidR="00AE530B" w:rsidRPr="00DF55D4">
        <w:rPr>
          <w:rFonts w:ascii="Arial" w:hAnsi="Arial" w:cs="Arial"/>
        </w:rPr>
        <w:t xml:space="preserve"> por la obligación pendiente de pago contenida</w:t>
      </w:r>
      <w:r>
        <w:rPr>
          <w:rFonts w:ascii="Arial" w:hAnsi="Arial" w:cs="Arial"/>
        </w:rPr>
        <w:t xml:space="preserve"> en </w:t>
      </w:r>
      <w:r w:rsidRPr="00DF55D4">
        <w:rPr>
          <w:rFonts w:ascii="Arial" w:hAnsi="Arial" w:cs="Arial"/>
          <w:highlight w:val="yellow"/>
        </w:rPr>
        <w:t>(título: Resolución, acta liquidación, Sentencia, etc)</w:t>
      </w:r>
      <w:r w:rsidR="00AE530B" w:rsidRPr="00DF55D4">
        <w:rPr>
          <w:rFonts w:ascii="Arial" w:hAnsi="Arial" w:cs="Arial"/>
          <w:highlight w:val="yellow"/>
        </w:rPr>
        <w:t>.</w:t>
      </w:r>
    </w:p>
    <w:p w14:paraId="666B93A6" w14:textId="77777777" w:rsidR="00AE530B" w:rsidRPr="00DF55D4" w:rsidRDefault="00AE530B" w:rsidP="00DF55D4">
      <w:pPr>
        <w:pStyle w:val="Sinespaciado"/>
        <w:spacing w:line="276" w:lineRule="auto"/>
        <w:contextualSpacing/>
        <w:jc w:val="both"/>
        <w:rPr>
          <w:rFonts w:ascii="Arial" w:hAnsi="Arial" w:cs="Arial"/>
        </w:rPr>
      </w:pPr>
    </w:p>
    <w:p w14:paraId="480C263D" w14:textId="37B9A30F" w:rsidR="00AE530B" w:rsidRPr="00DF55D4" w:rsidRDefault="00DF55D4" w:rsidP="00DF55D4">
      <w:pPr>
        <w:pStyle w:val="Sinespaciado"/>
        <w:spacing w:line="276" w:lineRule="auto"/>
        <w:contextualSpacing/>
        <w:jc w:val="both"/>
        <w:rPr>
          <w:rFonts w:ascii="Arial" w:hAnsi="Arial" w:cs="Arial"/>
        </w:rPr>
      </w:pPr>
      <w:r w:rsidRPr="00DF55D4">
        <w:rPr>
          <w:rFonts w:ascii="Arial" w:hAnsi="Arial" w:cs="Arial"/>
          <w:b/>
        </w:rPr>
        <w:t xml:space="preserve">ARTÍCULO </w:t>
      </w:r>
      <w:r w:rsidR="00AE530B" w:rsidRPr="00DF55D4">
        <w:rPr>
          <w:rFonts w:ascii="Arial" w:hAnsi="Arial" w:cs="Arial"/>
          <w:b/>
        </w:rPr>
        <w:t>QUINTO: ORDENAR</w:t>
      </w:r>
      <w:r w:rsidR="00AE530B" w:rsidRPr="00DF55D4">
        <w:rPr>
          <w:rFonts w:ascii="Arial" w:hAnsi="Arial" w:cs="Arial"/>
        </w:rPr>
        <w:t xml:space="preserve"> la aplicación de los títulos de depósito judicial que se encuentren pendientes y los que posteriormente se alleguen al proceso.</w:t>
      </w:r>
    </w:p>
    <w:p w14:paraId="1523D152" w14:textId="77777777" w:rsidR="00AE530B" w:rsidRPr="00DF55D4" w:rsidRDefault="00AE530B" w:rsidP="00DF55D4">
      <w:pPr>
        <w:pStyle w:val="Sinespaciado"/>
        <w:spacing w:line="276" w:lineRule="auto"/>
        <w:contextualSpacing/>
        <w:jc w:val="both"/>
        <w:rPr>
          <w:rFonts w:ascii="Arial" w:hAnsi="Arial" w:cs="Arial"/>
          <w:b/>
          <w:highlight w:val="yellow"/>
        </w:rPr>
      </w:pPr>
    </w:p>
    <w:p w14:paraId="1A22047E" w14:textId="54694E38" w:rsidR="00AE530B" w:rsidRPr="00DF55D4" w:rsidRDefault="00DF55D4" w:rsidP="00DF55D4">
      <w:pPr>
        <w:pStyle w:val="Sinespaciado"/>
        <w:spacing w:line="276" w:lineRule="auto"/>
        <w:contextualSpacing/>
        <w:jc w:val="both"/>
        <w:rPr>
          <w:rFonts w:ascii="Arial" w:hAnsi="Arial" w:cs="Arial"/>
          <w:b/>
          <w:bCs/>
        </w:rPr>
      </w:pPr>
      <w:r w:rsidRPr="00DF55D4">
        <w:rPr>
          <w:rFonts w:ascii="Arial" w:hAnsi="Arial" w:cs="Arial"/>
          <w:b/>
          <w:bCs/>
        </w:rPr>
        <w:t xml:space="preserve">ARTÍCULO </w:t>
      </w:r>
      <w:r w:rsidR="00AE530B" w:rsidRPr="00DF55D4">
        <w:rPr>
          <w:rFonts w:ascii="Arial" w:hAnsi="Arial" w:cs="Arial"/>
          <w:b/>
          <w:bCs/>
        </w:rPr>
        <w:t>SEXTO:</w:t>
      </w:r>
      <w:r w:rsidR="00AE530B" w:rsidRPr="00DF55D4">
        <w:rPr>
          <w:rFonts w:ascii="Arial" w:hAnsi="Arial" w:cs="Arial"/>
        </w:rPr>
        <w:t xml:space="preserve"> Realizar la liquidación del crédito y costas del proceso al ejecutado, previa su tasación.</w:t>
      </w:r>
    </w:p>
    <w:p w14:paraId="2613171D" w14:textId="77777777" w:rsidR="00AE530B" w:rsidRPr="00DF55D4" w:rsidRDefault="00AE530B" w:rsidP="00DF55D4">
      <w:pPr>
        <w:pStyle w:val="Encabezado"/>
        <w:tabs>
          <w:tab w:val="clear" w:pos="4252"/>
          <w:tab w:val="clear" w:pos="8504"/>
          <w:tab w:val="left" w:pos="1560"/>
          <w:tab w:val="left" w:pos="9214"/>
        </w:tabs>
        <w:spacing w:after="0"/>
        <w:jc w:val="both"/>
        <w:rPr>
          <w:rFonts w:ascii="Arial" w:hAnsi="Arial" w:cs="Arial"/>
          <w:b/>
        </w:rPr>
      </w:pPr>
    </w:p>
    <w:p w14:paraId="330739D4" w14:textId="1B698D95" w:rsidR="00AE530B" w:rsidRPr="00DF55D4" w:rsidRDefault="00DF55D4" w:rsidP="00DF55D4">
      <w:pPr>
        <w:pStyle w:val="Textoindependiente"/>
        <w:contextualSpacing/>
        <w:rPr>
          <w:rFonts w:cs="Arial"/>
          <w:b/>
          <w:sz w:val="22"/>
          <w:szCs w:val="22"/>
        </w:rPr>
      </w:pPr>
      <w:r w:rsidRPr="00DF55D4">
        <w:rPr>
          <w:rFonts w:cs="Arial"/>
          <w:b/>
          <w:sz w:val="22"/>
          <w:szCs w:val="22"/>
        </w:rPr>
        <w:t xml:space="preserve">ARTÍCULO </w:t>
      </w:r>
      <w:r w:rsidR="00AE530B" w:rsidRPr="00DF55D4">
        <w:rPr>
          <w:rFonts w:cs="Arial"/>
          <w:b/>
          <w:sz w:val="22"/>
          <w:szCs w:val="22"/>
        </w:rPr>
        <w:t>SÉPTIMO:</w:t>
      </w:r>
      <w:r w:rsidR="00AE530B" w:rsidRPr="00DF55D4">
        <w:rPr>
          <w:rFonts w:cs="Arial"/>
          <w:sz w:val="22"/>
          <w:szCs w:val="22"/>
        </w:rPr>
        <w:t xml:space="preserve"> </w:t>
      </w:r>
      <w:r w:rsidR="00AE530B" w:rsidRPr="00DF55D4">
        <w:rPr>
          <w:rFonts w:cs="Arial"/>
          <w:b/>
          <w:sz w:val="22"/>
          <w:szCs w:val="22"/>
        </w:rPr>
        <w:t xml:space="preserve">NOTIFICAR </w:t>
      </w:r>
      <w:r w:rsidR="00AE530B" w:rsidRPr="00DF55D4">
        <w:rPr>
          <w:rFonts w:cs="Arial"/>
          <w:bCs/>
          <w:sz w:val="22"/>
          <w:szCs w:val="22"/>
        </w:rPr>
        <w:t>la presente resolución conforme a lo establecido en el Artículo 565 del Estatuto Tributario Nacional, contra la cual procede el recurso de reposición, el cual debe interponerse ante este Despacho, dentro del mes siguiente a su notificación, de acuerdo con el artículo 834 del Estatuto Tributario Nacional.</w:t>
      </w:r>
    </w:p>
    <w:p w14:paraId="527A3C14" w14:textId="56FAF811" w:rsidR="00AE530B" w:rsidRPr="00DF55D4" w:rsidRDefault="00AE530B" w:rsidP="00DF55D4">
      <w:pPr>
        <w:tabs>
          <w:tab w:val="left" w:pos="9214"/>
        </w:tabs>
        <w:spacing w:after="0" w:line="240" w:lineRule="auto"/>
        <w:jc w:val="both"/>
        <w:rPr>
          <w:rFonts w:ascii="Arial" w:hAnsi="Arial" w:cs="Arial"/>
        </w:rPr>
      </w:pPr>
    </w:p>
    <w:p w14:paraId="365FA3C2" w14:textId="77777777" w:rsidR="00AE530B" w:rsidRPr="00DF55D4" w:rsidRDefault="00AE530B" w:rsidP="00DF55D4">
      <w:pPr>
        <w:spacing w:after="0" w:line="240" w:lineRule="auto"/>
        <w:jc w:val="both"/>
        <w:rPr>
          <w:rFonts w:ascii="Arial" w:hAnsi="Arial" w:cs="Arial"/>
          <w:b/>
        </w:rPr>
      </w:pPr>
    </w:p>
    <w:p w14:paraId="0E1A10D0" w14:textId="77777777" w:rsidR="00AE530B" w:rsidRPr="00DF55D4" w:rsidRDefault="00AE530B" w:rsidP="00DF55D4">
      <w:pPr>
        <w:spacing w:after="0" w:line="240" w:lineRule="auto"/>
        <w:jc w:val="center"/>
        <w:rPr>
          <w:rFonts w:ascii="Arial" w:hAnsi="Arial" w:cs="Arial"/>
          <w:b/>
        </w:rPr>
      </w:pPr>
      <w:r w:rsidRPr="00DF55D4">
        <w:rPr>
          <w:rFonts w:ascii="Arial" w:hAnsi="Arial" w:cs="Arial"/>
          <w:b/>
        </w:rPr>
        <w:t>NOTIFÍQUESE Y CÚMPLASE</w:t>
      </w:r>
    </w:p>
    <w:p w14:paraId="1903AC0B" w14:textId="77777777" w:rsidR="00AE530B" w:rsidRPr="00DF55D4" w:rsidRDefault="00AE530B" w:rsidP="00DF55D4">
      <w:pPr>
        <w:spacing w:after="0" w:line="240" w:lineRule="auto"/>
        <w:jc w:val="center"/>
        <w:rPr>
          <w:rFonts w:ascii="Arial" w:hAnsi="Arial" w:cs="Arial"/>
          <w:b/>
        </w:rPr>
      </w:pPr>
      <w:r w:rsidRPr="00DF55D4">
        <w:rPr>
          <w:rFonts w:ascii="Arial" w:hAnsi="Arial" w:cs="Arial"/>
        </w:rPr>
        <w:t xml:space="preserve">Dado en </w:t>
      </w:r>
      <w:r w:rsidRPr="00DF55D4">
        <w:rPr>
          <w:rFonts w:ascii="Arial" w:hAnsi="Arial" w:cs="Arial"/>
          <w:highlight w:val="yellow"/>
        </w:rPr>
        <w:t>XXX</w:t>
      </w:r>
      <w:r w:rsidRPr="00DF55D4">
        <w:rPr>
          <w:rFonts w:ascii="Arial" w:hAnsi="Arial" w:cs="Arial"/>
        </w:rPr>
        <w:t>.</w:t>
      </w:r>
    </w:p>
    <w:p w14:paraId="3CEBE97A" w14:textId="77777777" w:rsidR="00AE530B" w:rsidRPr="00DF55D4" w:rsidRDefault="00AE530B" w:rsidP="00DF55D4">
      <w:pPr>
        <w:spacing w:after="0" w:line="240" w:lineRule="auto"/>
        <w:jc w:val="center"/>
        <w:rPr>
          <w:rFonts w:ascii="Arial" w:hAnsi="Arial" w:cs="Arial"/>
        </w:rPr>
      </w:pPr>
    </w:p>
    <w:p w14:paraId="4168D219" w14:textId="77777777" w:rsidR="00AE530B" w:rsidRPr="00DF55D4" w:rsidRDefault="00AE530B" w:rsidP="00DF55D4">
      <w:pPr>
        <w:spacing w:after="0" w:line="240" w:lineRule="auto"/>
        <w:jc w:val="center"/>
        <w:rPr>
          <w:rFonts w:ascii="Arial" w:hAnsi="Arial" w:cs="Arial"/>
        </w:rPr>
      </w:pPr>
    </w:p>
    <w:p w14:paraId="6D50EEAF" w14:textId="77777777" w:rsidR="00AE530B" w:rsidRPr="00DF55D4" w:rsidRDefault="00AE530B" w:rsidP="00DF55D4">
      <w:pPr>
        <w:pStyle w:val="Sinespaciado"/>
        <w:jc w:val="center"/>
        <w:rPr>
          <w:rFonts w:ascii="Arial" w:hAnsi="Arial" w:cs="Arial"/>
          <w:b/>
          <w:noProof/>
          <w:lang w:eastAsia="es-CO"/>
        </w:rPr>
      </w:pPr>
      <w:r w:rsidRPr="00DF55D4">
        <w:rPr>
          <w:rFonts w:ascii="Arial" w:hAnsi="Arial" w:cs="Arial"/>
          <w:b/>
          <w:noProof/>
          <w:highlight w:val="yellow"/>
          <w:lang w:eastAsia="es-CO"/>
        </w:rPr>
        <w:t>XXXXXXXXXXXXXXX</w:t>
      </w:r>
    </w:p>
    <w:p w14:paraId="54E1951A" w14:textId="77777777" w:rsidR="00AE530B" w:rsidRPr="00DF55D4" w:rsidRDefault="00AE530B" w:rsidP="00DF55D4">
      <w:pPr>
        <w:spacing w:after="0" w:line="240" w:lineRule="auto"/>
        <w:jc w:val="center"/>
        <w:rPr>
          <w:rFonts w:ascii="Arial" w:hAnsi="Arial" w:cs="Arial"/>
          <w:lang w:eastAsia="es-ES"/>
        </w:rPr>
      </w:pPr>
      <w:r w:rsidRPr="00DF55D4">
        <w:rPr>
          <w:rFonts w:ascii="Arial" w:hAnsi="Arial" w:cs="Arial"/>
          <w:lang w:val="es-MX"/>
        </w:rPr>
        <w:t xml:space="preserve">Funcionario Ejecutor Regional </w:t>
      </w:r>
      <w:r w:rsidRPr="00DF55D4">
        <w:rPr>
          <w:rFonts w:ascii="Arial" w:hAnsi="Arial" w:cs="Arial"/>
          <w:highlight w:val="yellow"/>
          <w:lang w:val="es-MX"/>
        </w:rPr>
        <w:t>XXXXXXXXXXXX</w:t>
      </w:r>
    </w:p>
    <w:p w14:paraId="6D21E514" w14:textId="77777777" w:rsidR="00AE530B" w:rsidRPr="00DF55D4" w:rsidRDefault="00AE530B" w:rsidP="00DF55D4">
      <w:pPr>
        <w:pStyle w:val="Sinespaciado"/>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8513"/>
      </w:tblGrid>
      <w:tr w:rsidR="00AE530B" w:rsidRPr="00DF55D4" w14:paraId="0A5471BF" w14:textId="77777777" w:rsidTr="00543714">
        <w:tc>
          <w:tcPr>
            <w:tcW w:w="704" w:type="dxa"/>
          </w:tcPr>
          <w:p w14:paraId="485E19EA" w14:textId="77777777" w:rsidR="00AE530B" w:rsidRPr="00DF55D4" w:rsidRDefault="00AE530B" w:rsidP="00DF55D4">
            <w:pPr>
              <w:spacing w:after="0" w:line="240" w:lineRule="auto"/>
              <w:jc w:val="both"/>
              <w:rPr>
                <w:rFonts w:ascii="Arial" w:hAnsi="Arial" w:cs="Arial"/>
                <w:sz w:val="16"/>
                <w:szCs w:val="16"/>
                <w:lang w:val="es-CO"/>
              </w:rPr>
            </w:pPr>
            <w:r w:rsidRPr="00DF55D4">
              <w:rPr>
                <w:rFonts w:ascii="Arial" w:hAnsi="Arial" w:cs="Arial"/>
                <w:sz w:val="16"/>
                <w:szCs w:val="16"/>
                <w:lang w:val="es-CO"/>
              </w:rPr>
              <w:t>Proyectó:</w:t>
            </w:r>
          </w:p>
        </w:tc>
        <w:tc>
          <w:tcPr>
            <w:tcW w:w="8693" w:type="dxa"/>
          </w:tcPr>
          <w:p w14:paraId="5D150457" w14:textId="77777777" w:rsidR="00AE530B" w:rsidRPr="00DF55D4" w:rsidRDefault="00AE530B" w:rsidP="00DF55D4">
            <w:pPr>
              <w:spacing w:after="0" w:line="240" w:lineRule="auto"/>
              <w:jc w:val="both"/>
              <w:rPr>
                <w:rFonts w:ascii="Arial" w:hAnsi="Arial" w:cs="Arial"/>
                <w:sz w:val="16"/>
                <w:szCs w:val="16"/>
                <w:highlight w:val="yellow"/>
                <w:lang w:val="es-CO"/>
              </w:rPr>
            </w:pPr>
            <w:r w:rsidRPr="00DF55D4">
              <w:rPr>
                <w:rFonts w:ascii="Arial" w:hAnsi="Arial" w:cs="Arial"/>
                <w:sz w:val="16"/>
                <w:szCs w:val="16"/>
                <w:highlight w:val="yellow"/>
                <w:lang w:val="es-CO"/>
              </w:rPr>
              <w:t xml:space="preserve">XXXXXXXXXXXX  </w:t>
            </w:r>
          </w:p>
        </w:tc>
      </w:tr>
      <w:tr w:rsidR="00AE530B" w:rsidRPr="00DF55D4" w14:paraId="5EBBF7FF" w14:textId="77777777" w:rsidTr="00543714">
        <w:tc>
          <w:tcPr>
            <w:tcW w:w="704" w:type="dxa"/>
          </w:tcPr>
          <w:p w14:paraId="649C74B1" w14:textId="77777777" w:rsidR="00AE530B" w:rsidRPr="00DF55D4" w:rsidRDefault="00AE530B" w:rsidP="00DF55D4">
            <w:pPr>
              <w:spacing w:after="0" w:line="240" w:lineRule="auto"/>
              <w:jc w:val="both"/>
              <w:rPr>
                <w:rFonts w:ascii="Arial" w:hAnsi="Arial" w:cs="Arial"/>
                <w:sz w:val="16"/>
                <w:szCs w:val="16"/>
                <w:lang w:val="es-CO"/>
              </w:rPr>
            </w:pPr>
            <w:r w:rsidRPr="00DF55D4">
              <w:rPr>
                <w:rFonts w:ascii="Arial" w:hAnsi="Arial" w:cs="Arial"/>
                <w:sz w:val="16"/>
                <w:szCs w:val="16"/>
                <w:lang w:val="es-CO"/>
              </w:rPr>
              <w:t>Revisó:</w:t>
            </w:r>
          </w:p>
        </w:tc>
        <w:tc>
          <w:tcPr>
            <w:tcW w:w="8693" w:type="dxa"/>
          </w:tcPr>
          <w:p w14:paraId="61358F01" w14:textId="77777777" w:rsidR="00AE530B" w:rsidRPr="00DF55D4" w:rsidRDefault="00AE530B" w:rsidP="00DF55D4">
            <w:pPr>
              <w:spacing w:after="0" w:line="240" w:lineRule="auto"/>
              <w:jc w:val="both"/>
              <w:rPr>
                <w:rFonts w:ascii="Arial" w:hAnsi="Arial" w:cs="Arial"/>
                <w:sz w:val="16"/>
                <w:szCs w:val="16"/>
                <w:lang w:val="es-CO"/>
              </w:rPr>
            </w:pPr>
            <w:r w:rsidRPr="00DF55D4">
              <w:rPr>
                <w:rFonts w:ascii="Arial" w:hAnsi="Arial" w:cs="Arial"/>
                <w:sz w:val="16"/>
                <w:szCs w:val="16"/>
                <w:highlight w:val="yellow"/>
                <w:lang w:val="es-CO"/>
              </w:rPr>
              <w:t>XXXXXXXXXXX</w:t>
            </w:r>
            <w:r w:rsidRPr="00DF55D4">
              <w:rPr>
                <w:rFonts w:ascii="Arial" w:hAnsi="Arial" w:cs="Arial"/>
                <w:sz w:val="16"/>
                <w:szCs w:val="16"/>
                <w:lang w:val="es-CO"/>
              </w:rPr>
              <w:t xml:space="preserve"> </w:t>
            </w:r>
          </w:p>
        </w:tc>
      </w:tr>
    </w:tbl>
    <w:p w14:paraId="6C25DB49" w14:textId="77777777" w:rsidR="00AE530B" w:rsidRPr="00DF55D4" w:rsidRDefault="00AE530B" w:rsidP="00DF55D4">
      <w:pPr>
        <w:spacing w:after="0" w:line="240" w:lineRule="auto"/>
        <w:rPr>
          <w:rFonts w:ascii="Arial" w:hAnsi="Arial" w:cs="Arial"/>
        </w:rPr>
      </w:pPr>
    </w:p>
    <w:p w14:paraId="035A5DB5" w14:textId="77777777" w:rsidR="00AE530B" w:rsidRPr="00DF55D4" w:rsidRDefault="00AE530B" w:rsidP="00DF55D4">
      <w:pPr>
        <w:spacing w:after="0" w:line="240" w:lineRule="auto"/>
        <w:jc w:val="both"/>
        <w:rPr>
          <w:rFonts w:ascii="Arial" w:hAnsi="Arial" w:cs="Arial"/>
          <w:lang w:val="es-CO"/>
        </w:rPr>
      </w:pPr>
    </w:p>
    <w:p w14:paraId="3CC9A8AB" w14:textId="77777777" w:rsidR="00AE530B" w:rsidRPr="00DF55D4" w:rsidRDefault="00AE530B" w:rsidP="00DF55D4">
      <w:pPr>
        <w:spacing w:after="0" w:line="240" w:lineRule="auto"/>
        <w:rPr>
          <w:rFonts w:ascii="Arial" w:hAnsi="Arial" w:cs="Arial"/>
          <w:lang w:val="es-CO"/>
        </w:rPr>
      </w:pPr>
    </w:p>
    <w:p w14:paraId="1F587FA4" w14:textId="77777777" w:rsidR="00AE530B" w:rsidRPr="00DF55D4" w:rsidRDefault="00AE530B" w:rsidP="00DF55D4">
      <w:pPr>
        <w:spacing w:after="0" w:line="240" w:lineRule="auto"/>
        <w:jc w:val="both"/>
        <w:rPr>
          <w:rFonts w:ascii="Arial" w:hAnsi="Arial" w:cs="Arial"/>
          <w:color w:val="FF0000"/>
          <w:lang w:val="es-CO"/>
        </w:rPr>
      </w:pPr>
    </w:p>
    <w:p w14:paraId="2125700D" w14:textId="77777777" w:rsidR="00AE530B" w:rsidRPr="00DF55D4" w:rsidRDefault="00AE530B" w:rsidP="00DF55D4">
      <w:pPr>
        <w:spacing w:after="0" w:line="240" w:lineRule="auto"/>
        <w:rPr>
          <w:rFonts w:ascii="Arial" w:hAnsi="Arial" w:cs="Arial"/>
          <w:color w:val="FF0000"/>
        </w:rPr>
      </w:pPr>
    </w:p>
    <w:p w14:paraId="3448626A" w14:textId="77777777" w:rsidR="00AE530B" w:rsidRPr="00DF55D4" w:rsidRDefault="00AE530B" w:rsidP="00DF55D4">
      <w:pPr>
        <w:spacing w:after="0"/>
        <w:rPr>
          <w:rFonts w:ascii="Arial" w:hAnsi="Arial" w:cs="Arial"/>
          <w:color w:val="FF0000"/>
        </w:rPr>
      </w:pPr>
    </w:p>
    <w:p w14:paraId="2658D3A1" w14:textId="77777777" w:rsidR="00AE530B" w:rsidRPr="00DF55D4" w:rsidRDefault="00AE530B" w:rsidP="00DF55D4">
      <w:pPr>
        <w:spacing w:after="0"/>
        <w:rPr>
          <w:rFonts w:ascii="Arial" w:hAnsi="Arial" w:cs="Arial"/>
        </w:rPr>
      </w:pPr>
    </w:p>
    <w:sectPr w:rsidR="00AE530B" w:rsidRPr="00DF55D4" w:rsidSect="00AE530B">
      <w:headerReference w:type="default" r:id="rId10"/>
      <w:footerReference w:type="default" r:id="rId11"/>
      <w:pgSz w:w="12240" w:h="20160" w:code="5"/>
      <w:pgMar w:top="1136"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53A15" w14:textId="77777777" w:rsidR="00B20971" w:rsidRDefault="00B20971" w:rsidP="00AE530B">
      <w:pPr>
        <w:spacing w:after="0" w:line="240" w:lineRule="auto"/>
      </w:pPr>
      <w:r>
        <w:separator/>
      </w:r>
    </w:p>
  </w:endnote>
  <w:endnote w:type="continuationSeparator" w:id="0">
    <w:p w14:paraId="59C2651D" w14:textId="77777777" w:rsidR="00B20971" w:rsidRDefault="00B20971" w:rsidP="00AE5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583106019"/>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13CA3AB0" w14:textId="77777777" w:rsidR="008C1655" w:rsidRDefault="008C1655" w:rsidP="007D6A53">
            <w:pPr>
              <w:pStyle w:val="Piedepgina"/>
              <w:jc w:val="right"/>
              <w:rPr>
                <w:rFonts w:ascii="Arial" w:hAnsi="Arial" w:cs="Arial"/>
                <w:sz w:val="16"/>
                <w:szCs w:val="16"/>
              </w:rPr>
            </w:pPr>
          </w:p>
          <w:p w14:paraId="503A3872" w14:textId="77777777" w:rsidR="008C1655" w:rsidRDefault="008C1655" w:rsidP="007D6A53">
            <w:pPr>
              <w:pStyle w:val="Piedepgina"/>
              <w:jc w:val="right"/>
              <w:rPr>
                <w:rFonts w:ascii="Arial" w:hAnsi="Arial" w:cs="Arial"/>
                <w:sz w:val="16"/>
                <w:szCs w:val="16"/>
              </w:rPr>
            </w:pPr>
          </w:p>
          <w:p w14:paraId="64944454" w14:textId="77777777" w:rsidR="008C1655" w:rsidRPr="007D6A53" w:rsidRDefault="004F0800" w:rsidP="007D6A53">
            <w:pPr>
              <w:pStyle w:val="Piedepgina"/>
              <w:jc w:val="right"/>
              <w:rPr>
                <w:rFonts w:ascii="Arial" w:hAnsi="Arial" w:cs="Arial"/>
                <w:sz w:val="16"/>
                <w:szCs w:val="16"/>
              </w:rPr>
            </w:pPr>
            <w:r>
              <w:rPr>
                <w:noProof/>
              </w:rPr>
              <mc:AlternateContent>
                <mc:Choice Requires="wps">
                  <w:drawing>
                    <wp:anchor distT="45720" distB="45720" distL="114300" distR="114300" simplePos="0" relativeHeight="251663360" behindDoc="1" locked="0" layoutInCell="1" allowOverlap="1" wp14:anchorId="7633BCBC" wp14:editId="39DC6A30">
                      <wp:simplePos x="0" y="0"/>
                      <wp:positionH relativeFrom="column">
                        <wp:posOffset>3046509</wp:posOffset>
                      </wp:positionH>
                      <wp:positionV relativeFrom="paragraph">
                        <wp:posOffset>212753</wp:posOffset>
                      </wp:positionV>
                      <wp:extent cx="3029447" cy="36957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23C67" w14:textId="77777777" w:rsidR="008C1655" w:rsidRPr="00621E1D" w:rsidRDefault="004F08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05F4170F" w14:textId="77777777" w:rsidR="008C1655" w:rsidRPr="00621E1D" w:rsidRDefault="004F08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633BCBC" id="_x0000_t202" coordsize="21600,21600" o:spt="202" path="m,l,21600r21600,l21600,xe">
                      <v:stroke joinstyle="miter"/>
                      <v:path gradientshapeok="t" o:connecttype="rect"/>
                    </v:shapetype>
                    <v:shape id="Cuadro de texto 11" o:spid="_x0000_s1027" type="#_x0000_t202" style="position:absolute;left:0;text-align:left;margin-left:239.9pt;margin-top:16.75pt;width:238.55pt;height:29.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" filled="f" stroked="f">
                      <v:textbox style="mso-fit-shape-to-text:t">
                        <w:txbxContent>
                          <w:p w14:paraId="57A23C67" w14:textId="77777777" w:rsidR="00000000" w:rsidRPr="00621E1D" w:rsidRDefault="000000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05F4170F" w14:textId="77777777" w:rsidR="00000000" w:rsidRPr="00621E1D" w:rsidRDefault="000000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662336" behindDoc="1" locked="0" layoutInCell="1" allowOverlap="1" wp14:anchorId="57E290DF" wp14:editId="29DCA842">
                      <wp:simplePos x="0" y="0"/>
                      <wp:positionH relativeFrom="column">
                        <wp:posOffset>103367</wp:posOffset>
                      </wp:positionH>
                      <wp:positionV relativeFrom="paragraph">
                        <wp:posOffset>124598</wp:posOffset>
                      </wp:positionV>
                      <wp:extent cx="2739390" cy="647065"/>
                      <wp:effectExtent l="0" t="0" r="0" b="63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2E512" w14:textId="77777777" w:rsidR="008C1655" w:rsidRPr="00972005" w:rsidRDefault="004F08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111ABAC3" w14:textId="77777777" w:rsidR="008C1655" w:rsidRPr="00972005" w:rsidRDefault="004F08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497B76D3" w14:textId="77777777" w:rsidR="008C1655" w:rsidRPr="00972005" w:rsidRDefault="004F08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E290DF" id="_x0000_s1028" type="#_x0000_t202" style="position:absolute;left:0;text-align:left;margin-left:8.15pt;margin-top:9.8pt;width:215.7pt;height:50.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" filled="f" stroked="f">
                      <v:textbox style="mso-fit-shape-to-text:t">
                        <w:txbxContent>
                          <w:p w14:paraId="3302E512" w14:textId="77777777" w:rsidR="00000000"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111ABAC3" w14:textId="77777777" w:rsidR="00000000"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497B76D3" w14:textId="77777777" w:rsidR="00000000"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61312" behindDoc="1" locked="0" layoutInCell="1" allowOverlap="1" wp14:anchorId="112FBF60" wp14:editId="6FCD7FB8">
                  <wp:simplePos x="0" y="0"/>
                  <wp:positionH relativeFrom="column">
                    <wp:posOffset>-889304</wp:posOffset>
                  </wp:positionH>
                  <wp:positionV relativeFrom="paragraph">
                    <wp:posOffset>-490551</wp:posOffset>
                  </wp:positionV>
                  <wp:extent cx="7433945" cy="1200647"/>
                  <wp:effectExtent l="0" t="0" r="0" b="0"/>
                  <wp:wrapNone/>
                  <wp:docPr id="31" name="Imagen 31"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505" cy="1201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A53">
              <w:rPr>
                <w:rFonts w:ascii="Arial" w:hAnsi="Arial" w:cs="Arial"/>
                <w:sz w:val="16"/>
                <w:szCs w:val="16"/>
              </w:rPr>
              <w:t xml:space="preserve">Página </w:t>
            </w:r>
            <w:r w:rsidRPr="007D6A53">
              <w:rPr>
                <w:rFonts w:ascii="Arial" w:hAnsi="Arial" w:cs="Arial"/>
                <w:b/>
                <w:bCs/>
                <w:sz w:val="16"/>
                <w:szCs w:val="16"/>
              </w:rPr>
              <w:fldChar w:fldCharType="begin"/>
            </w:r>
            <w:r w:rsidRPr="007D6A53">
              <w:rPr>
                <w:rFonts w:ascii="Arial" w:hAnsi="Arial" w:cs="Arial"/>
                <w:b/>
                <w:bCs/>
                <w:sz w:val="16"/>
                <w:szCs w:val="16"/>
              </w:rPr>
              <w:instrText>PAGE</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r w:rsidRPr="007D6A53">
              <w:rPr>
                <w:rFonts w:ascii="Arial" w:hAnsi="Arial" w:cs="Arial"/>
                <w:sz w:val="16"/>
                <w:szCs w:val="16"/>
              </w:rPr>
              <w:t xml:space="preserve"> de </w:t>
            </w:r>
            <w:r w:rsidRPr="007D6A53">
              <w:rPr>
                <w:rFonts w:ascii="Arial" w:hAnsi="Arial" w:cs="Arial"/>
                <w:b/>
                <w:bCs/>
                <w:sz w:val="16"/>
                <w:szCs w:val="16"/>
              </w:rPr>
              <w:fldChar w:fldCharType="begin"/>
            </w:r>
            <w:r w:rsidRPr="007D6A53">
              <w:rPr>
                <w:rFonts w:ascii="Arial" w:hAnsi="Arial" w:cs="Arial"/>
                <w:b/>
                <w:bCs/>
                <w:sz w:val="16"/>
                <w:szCs w:val="16"/>
              </w:rPr>
              <w:instrText>NUMPAGES</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p>
        </w:sdtContent>
      </w:sdt>
    </w:sdtContent>
  </w:sdt>
  <w:p w14:paraId="270E3F55" w14:textId="77777777" w:rsidR="008C1655" w:rsidRDefault="008C16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0FB55" w14:textId="77777777" w:rsidR="00B20971" w:rsidRDefault="00B20971" w:rsidP="00AE530B">
      <w:pPr>
        <w:spacing w:after="0" w:line="240" w:lineRule="auto"/>
      </w:pPr>
      <w:r>
        <w:separator/>
      </w:r>
    </w:p>
  </w:footnote>
  <w:footnote w:type="continuationSeparator" w:id="0">
    <w:p w14:paraId="3B9B7D77" w14:textId="77777777" w:rsidR="00B20971" w:rsidRDefault="00B20971" w:rsidP="00AE530B">
      <w:pPr>
        <w:spacing w:after="0" w:line="240" w:lineRule="auto"/>
      </w:pPr>
      <w:r>
        <w:continuationSeparator/>
      </w:r>
    </w:p>
  </w:footnote>
  <w:footnote w:id="1">
    <w:p w14:paraId="203D95E6" w14:textId="77777777" w:rsidR="00AE530B" w:rsidRPr="007766A6" w:rsidRDefault="00AE530B" w:rsidP="00AE530B">
      <w:pPr>
        <w:pStyle w:val="Textonotapie"/>
        <w:rPr>
          <w:lang w:val="es-419"/>
        </w:rPr>
      </w:pPr>
      <w:r>
        <w:rPr>
          <w:rStyle w:val="Refdenotaalpie"/>
        </w:rPr>
        <w:footnoteRef/>
      </w:r>
      <w:r>
        <w:t xml:space="preserve"> </w:t>
      </w:r>
      <w:r w:rsidRPr="00EA0C28">
        <w:rPr>
          <w:rFonts w:ascii="Arial" w:hAnsi="Arial" w:cs="Arial"/>
          <w:sz w:val="16"/>
          <w:szCs w:val="16"/>
        </w:rPr>
        <w:t>Auto de 17 de julio de 2003, expediente 24.041. Consejero Ponente Alier E. Hernández Enríquez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A2A67" w14:textId="77777777" w:rsidR="008C1655" w:rsidRDefault="004F0800" w:rsidP="00B92FB1">
    <w:pPr>
      <w:pStyle w:val="Encabezado"/>
      <w:tabs>
        <w:tab w:val="clear" w:pos="8504"/>
        <w:tab w:val="right" w:pos="9214"/>
      </w:tabs>
      <w:ind w:right="-568"/>
    </w:pPr>
    <w:r>
      <w:rPr>
        <w:noProof/>
      </w:rPr>
      <mc:AlternateContent>
        <mc:Choice Requires="wps">
          <w:drawing>
            <wp:anchor distT="45720" distB="45720" distL="114300" distR="114300" simplePos="0" relativeHeight="251659264" behindDoc="0" locked="0" layoutInCell="1" allowOverlap="1" wp14:anchorId="6AB02FF6" wp14:editId="042CD261">
              <wp:simplePos x="0" y="0"/>
              <wp:positionH relativeFrom="column">
                <wp:posOffset>-89535</wp:posOffset>
              </wp:positionH>
              <wp:positionV relativeFrom="paragraph">
                <wp:posOffset>-483235</wp:posOffset>
              </wp:positionV>
              <wp:extent cx="5734685" cy="8445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3F1E" w14:textId="77777777" w:rsidR="008C1655" w:rsidRPr="000F1E57" w:rsidRDefault="004F0800"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50264E18" w14:textId="77777777" w:rsidR="008C1655" w:rsidRPr="000F1E57" w:rsidRDefault="004F0800"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688ED3A5" w14:textId="77777777" w:rsidR="008C1655" w:rsidRPr="000F1E57" w:rsidRDefault="004F0800"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REGIONAL </w:t>
                          </w:r>
                          <w:r w:rsidRPr="00256FDE">
                            <w:rPr>
                              <w:rFonts w:ascii="Verdana" w:hAnsi="Verdana" w:cs="Arial"/>
                              <w:b/>
                              <w:color w:val="000000" w:themeColor="text1"/>
                              <w:szCs w:val="24"/>
                              <w:highlight w:val="yellow"/>
                            </w:rPr>
                            <w:t>XXX</w:t>
                          </w:r>
                        </w:p>
                        <w:p w14:paraId="4A5A547B" w14:textId="77777777" w:rsidR="008C1655" w:rsidRPr="007148BE" w:rsidRDefault="004F0800"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B02FF6" id="_x0000_t202" coordsize="21600,21600" o:spt="202" path="m,l,21600r21600,l21600,xe">
              <v:stroke joinstyle="miter"/>
              <v:path gradientshapeok="t" o:connecttype="rect"/>
            </v:shapetype>
            <v:shape id="Cuadro de texto 2" o:spid="_x0000_s1026" type="#_x0000_t202" style="position:absolute;margin-left:-7.05pt;margin-top:-38.05pt;width:451.55pt;height: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" filled="f" stroked="f">
              <v:textbox>
                <w:txbxContent>
                  <w:p w14:paraId="57F43F1E" w14:textId="77777777" w:rsidR="00000000" w:rsidRPr="000F1E57" w:rsidRDefault="00000000"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50264E18" w14:textId="77777777" w:rsidR="00000000" w:rsidRPr="000F1E57" w:rsidRDefault="00000000"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688ED3A5" w14:textId="77777777" w:rsidR="00000000" w:rsidRPr="000F1E57" w:rsidRDefault="00000000"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REGIONAL </w:t>
                    </w:r>
                    <w:r w:rsidRPr="00256FDE">
                      <w:rPr>
                        <w:rFonts w:ascii="Verdana" w:hAnsi="Verdana" w:cs="Arial"/>
                        <w:b/>
                        <w:color w:val="000000" w:themeColor="text1"/>
                        <w:szCs w:val="24"/>
                        <w:highlight w:val="yellow"/>
                      </w:rPr>
                      <w:t>XXX</w:t>
                    </w:r>
                  </w:p>
                  <w:p w14:paraId="4A5A547B" w14:textId="77777777" w:rsidR="00000000" w:rsidRPr="007148BE" w:rsidRDefault="00000000"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v:textbox>
            </v:shape>
          </w:pict>
        </mc:Fallback>
      </mc:AlternateContent>
    </w:r>
    <w:r>
      <w:rPr>
        <w:noProof/>
      </w:rPr>
      <w:drawing>
        <wp:anchor distT="0" distB="0" distL="114300" distR="114300" simplePos="0" relativeHeight="251660288" behindDoc="1" locked="0" layoutInCell="1" allowOverlap="1" wp14:anchorId="468F76D4" wp14:editId="08CE8793">
          <wp:simplePos x="0" y="0"/>
          <wp:positionH relativeFrom="column">
            <wp:posOffset>-1076325</wp:posOffset>
          </wp:positionH>
          <wp:positionV relativeFrom="paragraph">
            <wp:posOffset>-969645</wp:posOffset>
          </wp:positionV>
          <wp:extent cx="7750175" cy="1569720"/>
          <wp:effectExtent l="0" t="0" r="3175" b="0"/>
          <wp:wrapNone/>
          <wp:docPr id="30" name="Imagen 30"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F39A6E7" w14:textId="77777777" w:rsidR="008C1655" w:rsidRPr="00497338" w:rsidRDefault="004F0800" w:rsidP="00FA5A07">
    <w:pPr>
      <w:pStyle w:val="Encabezado"/>
      <w:tabs>
        <w:tab w:val="clear" w:pos="8504"/>
        <w:tab w:val="right" w:pos="9214"/>
      </w:tabs>
      <w:ind w:right="-568"/>
      <w:rPr>
        <w:rFonts w:ascii="Verdana" w:hAnsi="Verdana"/>
      </w:rPr>
    </w:pPr>
    <w:r w:rsidRPr="00497338">
      <w:rPr>
        <w:rFonts w:ascii="Verdana" w:hAnsi="Verdana"/>
      </w:rPr>
      <w:t xml:space="preserve">                                                                                                                                                                                                                                                     </w:t>
    </w:r>
  </w:p>
  <w:p w14:paraId="41C4E4ED" w14:textId="77777777" w:rsidR="008C1655" w:rsidRPr="007D6A53" w:rsidRDefault="004F0800" w:rsidP="007D6A53">
    <w:pPr>
      <w:autoSpaceDE w:val="0"/>
      <w:autoSpaceDN w:val="0"/>
      <w:adjustRightInd w:val="0"/>
      <w:spacing w:after="0" w:line="240" w:lineRule="auto"/>
      <w:jc w:val="center"/>
      <w:rPr>
        <w:rFonts w:ascii="Arial" w:eastAsia="Times New Roman" w:hAnsi="Arial" w:cs="Arial"/>
        <w:i/>
        <w:color w:val="000000"/>
        <w:lang w:eastAsia="es-CO"/>
      </w:rPr>
    </w:pPr>
    <w:r w:rsidRPr="007D6A53">
      <w:rPr>
        <w:rFonts w:ascii="Arial" w:eastAsia="Times New Roman" w:hAnsi="Arial" w:cs="Arial"/>
        <w:b/>
        <w:color w:val="000000"/>
        <w:lang w:eastAsia="es-CO"/>
      </w:rPr>
      <w:t xml:space="preserve">RESOLUCIÓN No. </w:t>
    </w:r>
  </w:p>
  <w:p w14:paraId="398F3F59" w14:textId="77777777" w:rsidR="008C1655" w:rsidRPr="007D6A53" w:rsidRDefault="008C1655" w:rsidP="007D6A53">
    <w:pPr>
      <w:autoSpaceDE w:val="0"/>
      <w:autoSpaceDN w:val="0"/>
      <w:adjustRightInd w:val="0"/>
      <w:spacing w:after="0" w:line="240" w:lineRule="auto"/>
      <w:jc w:val="center"/>
      <w:rPr>
        <w:rFonts w:ascii="Arial" w:eastAsia="Times New Roman" w:hAnsi="Arial" w:cs="Arial"/>
        <w:i/>
        <w:color w:val="000000"/>
        <w:lang w:eastAsia="es-CO"/>
      </w:rPr>
    </w:pPr>
  </w:p>
  <w:p w14:paraId="477E1EB6" w14:textId="2FDB034D" w:rsidR="008C1655" w:rsidRPr="007D6A53" w:rsidRDefault="004F0800" w:rsidP="007D6A53">
    <w:pPr>
      <w:spacing w:after="0" w:line="240" w:lineRule="auto"/>
      <w:contextualSpacing/>
      <w:jc w:val="center"/>
      <w:rPr>
        <w:rFonts w:ascii="Arial" w:hAnsi="Arial" w:cs="Arial"/>
        <w:b/>
      </w:rPr>
    </w:pPr>
    <w:r w:rsidRPr="007D6A53">
      <w:rPr>
        <w:rFonts w:ascii="Arial" w:hAnsi="Arial" w:cs="Arial"/>
        <w:b/>
      </w:rPr>
      <w:t>“</w:t>
    </w:r>
    <w:r w:rsidR="00AE530B" w:rsidRPr="006A1015">
      <w:rPr>
        <w:rFonts w:ascii="Arial" w:hAnsi="Arial" w:cs="Arial"/>
        <w:b/>
      </w:rPr>
      <w:t>POR LA CUAL SE RESUELVE ESCRITO DE EXCEPCIONES AL MANDAMIENTO DE PAGO Y SE ORDENA SEGUIR ADELANTE CON LA EJECUCIÓN</w:t>
    </w:r>
    <w:r w:rsidRPr="007D6A53">
      <w:rPr>
        <w:rFonts w:ascii="Arial" w:hAnsi="Arial" w:cs="Arial"/>
        <w:b/>
      </w:rPr>
      <w:t xml:space="preserve">” </w:t>
    </w:r>
  </w:p>
  <w:p w14:paraId="4C6CFCBD" w14:textId="77777777" w:rsidR="008C1655" w:rsidRPr="007D6A53" w:rsidRDefault="008C1655" w:rsidP="007D6A53">
    <w:pPr>
      <w:spacing w:after="0" w:line="240" w:lineRule="auto"/>
      <w:contextualSpacing/>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1454EB"/>
    <w:multiLevelType w:val="multilevel"/>
    <w:tmpl w:val="8BB05F8E"/>
    <w:lvl w:ilvl="0">
      <w:start w:val="1"/>
      <w:numFmt w:val="decimal"/>
      <w:lvlText w:val="%1."/>
      <w:lvlJc w:val="left"/>
      <w:pPr>
        <w:ind w:left="720" w:hanging="360"/>
      </w:pPr>
      <w:rPr>
        <w:rFonts w:hint="default"/>
        <w:b/>
        <w:bCs/>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00121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30B"/>
    <w:rsid w:val="00163043"/>
    <w:rsid w:val="001D5A89"/>
    <w:rsid w:val="00336157"/>
    <w:rsid w:val="004F0800"/>
    <w:rsid w:val="005424A0"/>
    <w:rsid w:val="00701313"/>
    <w:rsid w:val="008C1655"/>
    <w:rsid w:val="00941BDE"/>
    <w:rsid w:val="00AE530B"/>
    <w:rsid w:val="00B20971"/>
    <w:rsid w:val="00DF55D4"/>
    <w:rsid w:val="00F207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A15DAC"/>
  <w15:chartTrackingRefBased/>
  <w15:docId w15:val="{BE248748-5D57-4C49-B92C-46AC0EC21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30B"/>
    <w:pPr>
      <w:spacing w:after="200" w:line="276" w:lineRule="auto"/>
    </w:pPr>
    <w:rPr>
      <w:rFonts w:ascii="Calibri" w:eastAsia="Calibri" w:hAnsi="Calibri" w:cs="Times New Roman"/>
      <w:kern w:val="0"/>
      <w:sz w:val="22"/>
      <w:szCs w:val="22"/>
      <w:lang w:val="es-ES"/>
      <w14:ligatures w14:val="none"/>
    </w:rPr>
  </w:style>
  <w:style w:type="paragraph" w:styleId="Ttulo1">
    <w:name w:val="heading 1"/>
    <w:basedOn w:val="Normal"/>
    <w:next w:val="Normal"/>
    <w:link w:val="Ttulo1Car"/>
    <w:uiPriority w:val="9"/>
    <w:qFormat/>
    <w:rsid w:val="00AE53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E53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E530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E530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E530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E530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E530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E530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E530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E530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E530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E530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E530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E530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E530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E530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E530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E530B"/>
    <w:rPr>
      <w:rFonts w:eastAsiaTheme="majorEastAsia" w:cstheme="majorBidi"/>
      <w:color w:val="272727" w:themeColor="text1" w:themeTint="D8"/>
    </w:rPr>
  </w:style>
  <w:style w:type="paragraph" w:styleId="Ttulo">
    <w:name w:val="Title"/>
    <w:basedOn w:val="Normal"/>
    <w:next w:val="Normal"/>
    <w:link w:val="TtuloCar"/>
    <w:uiPriority w:val="10"/>
    <w:qFormat/>
    <w:rsid w:val="00AE53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E530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E530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E530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E530B"/>
    <w:pPr>
      <w:spacing w:before="160"/>
      <w:jc w:val="center"/>
    </w:pPr>
    <w:rPr>
      <w:i/>
      <w:iCs/>
      <w:color w:val="404040" w:themeColor="text1" w:themeTint="BF"/>
    </w:rPr>
  </w:style>
  <w:style w:type="character" w:customStyle="1" w:styleId="CitaCar">
    <w:name w:val="Cita Car"/>
    <w:basedOn w:val="Fuentedeprrafopredeter"/>
    <w:link w:val="Cita"/>
    <w:uiPriority w:val="29"/>
    <w:rsid w:val="00AE530B"/>
    <w:rPr>
      <w:i/>
      <w:iCs/>
      <w:color w:val="404040" w:themeColor="text1" w:themeTint="BF"/>
    </w:rPr>
  </w:style>
  <w:style w:type="paragraph" w:styleId="Prrafodelista">
    <w:name w:val="List Paragraph"/>
    <w:basedOn w:val="Normal"/>
    <w:uiPriority w:val="34"/>
    <w:qFormat/>
    <w:rsid w:val="00AE530B"/>
    <w:pPr>
      <w:ind w:left="720"/>
      <w:contextualSpacing/>
    </w:pPr>
  </w:style>
  <w:style w:type="character" w:styleId="nfasisintenso">
    <w:name w:val="Intense Emphasis"/>
    <w:basedOn w:val="Fuentedeprrafopredeter"/>
    <w:uiPriority w:val="21"/>
    <w:qFormat/>
    <w:rsid w:val="00AE530B"/>
    <w:rPr>
      <w:i/>
      <w:iCs/>
      <w:color w:val="0F4761" w:themeColor="accent1" w:themeShade="BF"/>
    </w:rPr>
  </w:style>
  <w:style w:type="paragraph" w:styleId="Citadestacada">
    <w:name w:val="Intense Quote"/>
    <w:basedOn w:val="Normal"/>
    <w:next w:val="Normal"/>
    <w:link w:val="CitadestacadaCar"/>
    <w:uiPriority w:val="30"/>
    <w:qFormat/>
    <w:rsid w:val="00AE53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E530B"/>
    <w:rPr>
      <w:i/>
      <w:iCs/>
      <w:color w:val="0F4761" w:themeColor="accent1" w:themeShade="BF"/>
    </w:rPr>
  </w:style>
  <w:style w:type="character" w:styleId="Referenciaintensa">
    <w:name w:val="Intense Reference"/>
    <w:basedOn w:val="Fuentedeprrafopredeter"/>
    <w:uiPriority w:val="32"/>
    <w:qFormat/>
    <w:rsid w:val="00AE530B"/>
    <w:rPr>
      <w:b/>
      <w:bCs/>
      <w:smallCaps/>
      <w:color w:val="0F4761" w:themeColor="accent1" w:themeShade="BF"/>
      <w:spacing w:val="5"/>
    </w:rPr>
  </w:style>
  <w:style w:type="paragraph" w:styleId="Encabezado">
    <w:name w:val="header"/>
    <w:basedOn w:val="Normal"/>
    <w:link w:val="EncabezadoCar"/>
    <w:uiPriority w:val="99"/>
    <w:unhideWhenUsed/>
    <w:rsid w:val="00AE530B"/>
    <w:pPr>
      <w:tabs>
        <w:tab w:val="center" w:pos="4252"/>
        <w:tab w:val="right" w:pos="8504"/>
      </w:tabs>
    </w:pPr>
  </w:style>
  <w:style w:type="character" w:customStyle="1" w:styleId="EncabezadoCar">
    <w:name w:val="Encabezado Car"/>
    <w:basedOn w:val="Fuentedeprrafopredeter"/>
    <w:link w:val="Encabezado"/>
    <w:uiPriority w:val="99"/>
    <w:rsid w:val="00AE530B"/>
    <w:rPr>
      <w:rFonts w:ascii="Calibri" w:eastAsia="Calibri" w:hAnsi="Calibri" w:cs="Times New Roman"/>
      <w:kern w:val="0"/>
      <w:sz w:val="22"/>
      <w:szCs w:val="22"/>
      <w:lang w:val="es-ES"/>
      <w14:ligatures w14:val="none"/>
    </w:rPr>
  </w:style>
  <w:style w:type="paragraph" w:styleId="Piedepgina">
    <w:name w:val="footer"/>
    <w:basedOn w:val="Normal"/>
    <w:link w:val="PiedepginaCar"/>
    <w:uiPriority w:val="99"/>
    <w:unhideWhenUsed/>
    <w:rsid w:val="00AE530B"/>
    <w:pPr>
      <w:tabs>
        <w:tab w:val="center" w:pos="4252"/>
        <w:tab w:val="right" w:pos="8504"/>
      </w:tabs>
    </w:pPr>
  </w:style>
  <w:style w:type="character" w:customStyle="1" w:styleId="PiedepginaCar">
    <w:name w:val="Pie de página Car"/>
    <w:basedOn w:val="Fuentedeprrafopredeter"/>
    <w:link w:val="Piedepgina"/>
    <w:uiPriority w:val="99"/>
    <w:rsid w:val="00AE530B"/>
    <w:rPr>
      <w:rFonts w:ascii="Calibri" w:eastAsia="Calibri" w:hAnsi="Calibri" w:cs="Times New Roman"/>
      <w:kern w:val="0"/>
      <w:sz w:val="22"/>
      <w:szCs w:val="22"/>
      <w:lang w:val="es-ES"/>
      <w14:ligatures w14:val="none"/>
    </w:rPr>
  </w:style>
  <w:style w:type="table" w:styleId="Tablaconcuadrcula">
    <w:name w:val="Table Grid"/>
    <w:basedOn w:val="Tablanormal"/>
    <w:uiPriority w:val="39"/>
    <w:rsid w:val="00AE530B"/>
    <w:pPr>
      <w:spacing w:after="0" w:line="240" w:lineRule="auto"/>
    </w:pPr>
    <w:rPr>
      <w:rFonts w:ascii="Calibri" w:eastAsia="Calibri" w:hAnsi="Calibri" w:cs="Times New Roman"/>
      <w:kern w:val="0"/>
      <w:sz w:val="20"/>
      <w:szCs w:val="20"/>
      <w:lang w:eastAsia="es-C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AE530B"/>
    <w:pPr>
      <w:spacing w:after="0" w:line="240" w:lineRule="auto"/>
    </w:pPr>
    <w:rPr>
      <w:rFonts w:ascii="Calibri" w:eastAsia="Calibri" w:hAnsi="Calibri" w:cs="Times New Roman"/>
      <w:kern w:val="0"/>
      <w:sz w:val="22"/>
      <w:szCs w:val="22"/>
      <w:lang w:val="es-ES"/>
      <w14:ligatures w14:val="none"/>
    </w:rPr>
  </w:style>
  <w:style w:type="paragraph" w:styleId="Textoindependiente">
    <w:name w:val="Body Text"/>
    <w:basedOn w:val="Normal"/>
    <w:link w:val="TextoindependienteCar"/>
    <w:rsid w:val="00AE530B"/>
    <w:pPr>
      <w:numPr>
        <w:ilvl w:val="12"/>
      </w:numPr>
      <w:spacing w:after="0" w:line="240" w:lineRule="auto"/>
      <w:jc w:val="both"/>
    </w:pPr>
    <w:rPr>
      <w:rFonts w:ascii="Arial" w:eastAsia="Times New Roman" w:hAnsi="Arial"/>
      <w:sz w:val="24"/>
      <w:szCs w:val="20"/>
      <w:lang w:val="es-ES_tradnl" w:eastAsia="es-ES"/>
    </w:rPr>
  </w:style>
  <w:style w:type="character" w:customStyle="1" w:styleId="TextoindependienteCar">
    <w:name w:val="Texto independiente Car"/>
    <w:basedOn w:val="Fuentedeprrafopredeter"/>
    <w:link w:val="Textoindependiente"/>
    <w:rsid w:val="00AE530B"/>
    <w:rPr>
      <w:rFonts w:ascii="Arial" w:eastAsia="Times New Roman" w:hAnsi="Arial" w:cs="Times New Roman"/>
      <w:kern w:val="0"/>
      <w:szCs w:val="20"/>
      <w:lang w:val="es-ES_tradnl" w:eastAsia="es-ES"/>
      <w14:ligatures w14:val="none"/>
    </w:rPr>
  </w:style>
  <w:style w:type="character" w:customStyle="1" w:styleId="SinespaciadoCar">
    <w:name w:val="Sin espaciado Car"/>
    <w:link w:val="Sinespaciado"/>
    <w:uiPriority w:val="1"/>
    <w:locked/>
    <w:rsid w:val="00AE530B"/>
    <w:rPr>
      <w:rFonts w:ascii="Calibri" w:eastAsia="Calibri" w:hAnsi="Calibri" w:cs="Times New Roman"/>
      <w:kern w:val="0"/>
      <w:sz w:val="22"/>
      <w:szCs w:val="22"/>
      <w:lang w:val="es-ES"/>
      <w14:ligatures w14:val="none"/>
    </w:rPr>
  </w:style>
  <w:style w:type="paragraph" w:styleId="Textonotapie">
    <w:name w:val="footnote text"/>
    <w:basedOn w:val="Normal"/>
    <w:link w:val="TextonotapieCar"/>
    <w:uiPriority w:val="99"/>
    <w:semiHidden/>
    <w:unhideWhenUsed/>
    <w:rsid w:val="00AE530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530B"/>
    <w:rPr>
      <w:rFonts w:ascii="Calibri" w:eastAsia="Calibri" w:hAnsi="Calibri" w:cs="Times New Roman"/>
      <w:kern w:val="0"/>
      <w:sz w:val="20"/>
      <w:szCs w:val="20"/>
      <w:lang w:val="es-ES"/>
      <w14:ligatures w14:val="none"/>
    </w:rPr>
  </w:style>
  <w:style w:type="character" w:styleId="Refdenotaalpie">
    <w:name w:val="footnote reference"/>
    <w:basedOn w:val="Fuentedeprrafopredeter"/>
    <w:uiPriority w:val="99"/>
    <w:semiHidden/>
    <w:unhideWhenUsed/>
    <w:rsid w:val="00AE53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E53ECAE74D1C14480A22B963F5F34BE" ma:contentTypeVersion="18" ma:contentTypeDescription="Crear nuevo documento." ma:contentTypeScope="" ma:versionID="0babfb63103132a50790170903088182">
  <xsd:schema xmlns:xsd="http://www.w3.org/2001/XMLSchema" xmlns:xs="http://www.w3.org/2001/XMLSchema" xmlns:p="http://schemas.microsoft.com/office/2006/metadata/properties" xmlns:ns2="b1350fd5-db96-46fa-87dd-50d37db27696" xmlns:ns3="f591d60a-2ca2-4f72-bf37-5f6cc3d2c449" targetNamespace="http://schemas.microsoft.com/office/2006/metadata/properties" ma:root="true" ma:fieldsID="39abd1a81ce6c5122b0db756c34ad745" ns2:_="" ns3:_="">
    <xsd:import namespace="b1350fd5-db96-46fa-87dd-50d37db27696"/>
    <xsd:import namespace="f591d60a-2ca2-4f72-bf37-5f6cc3d2c4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50fd5-db96-46fa-87dd-50d37db27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1d60a-2ca2-4f72-bf37-5f6cc3d2c44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0e35cc8-e9e2-414a-b1f7-d83e465e3d54}" ma:internalName="TaxCatchAll" ma:showField="CatchAllData" ma:web="f591d60a-2ca2-4f72-bf37-5f6cc3d2c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591d60a-2ca2-4f72-bf37-5f6cc3d2c449" xsi:nil="true"/>
    <lcf76f155ced4ddcb4097134ff3c332f xmlns="b1350fd5-db96-46fa-87dd-50d37db2769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45481A-CCE1-407B-8D7E-487B3EE0E5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50fd5-db96-46fa-87dd-50d37db27696"/>
    <ds:schemaRef ds:uri="f591d60a-2ca2-4f72-bf37-5f6cc3d2c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9CA730-2A37-4FC8-96B0-811660F9B5D6}">
  <ds:schemaRefs>
    <ds:schemaRef ds:uri="http://schemas.microsoft.com/office/2006/metadata/properties"/>
    <ds:schemaRef ds:uri="http://schemas.microsoft.com/office/infopath/2007/PartnerControls"/>
    <ds:schemaRef ds:uri="f591d60a-2ca2-4f72-bf37-5f6cc3d2c449"/>
    <ds:schemaRef ds:uri="b1350fd5-db96-46fa-87dd-50d37db27696"/>
  </ds:schemaRefs>
</ds:datastoreItem>
</file>

<file path=customXml/itemProps3.xml><?xml version="1.0" encoding="utf-8"?>
<ds:datastoreItem xmlns:ds="http://schemas.openxmlformats.org/officeDocument/2006/customXml" ds:itemID="{0494A5FB-89D1-4B5C-8146-4E5FC5D609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3444</Words>
  <Characters>17960</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Jessica Guerra Urbina</dc:creator>
  <cp:keywords/>
  <dc:description/>
  <cp:lastModifiedBy>Diana Tirado Alarcón</cp:lastModifiedBy>
  <cp:revision>4</cp:revision>
  <dcterms:created xsi:type="dcterms:W3CDTF">2024-10-20T17:38:00Z</dcterms:created>
  <dcterms:modified xsi:type="dcterms:W3CDTF">2025-05-19T12:27:00Z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9268b65d-12a3-42bc-a643-ab2263880c1a</vt:lpwstr>
  </property>
  <property fmtid="{D5CDD505-2E9C-101B-9397-08002B2CF9AE}" pid="3" name="ContentTypeId">
    <vt:lpwstr>0x0101003E53ECAE74D1C14480A22B963F5F34BE</vt:lpwstr>
  </property>
</Properties>
</file>